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E454" w14:textId="77777777" w:rsidR="003A3B6C" w:rsidRDefault="004B6658" w:rsidP="00E91A3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FrankRuehl" w:hAnsi="FrankRuehl" w:cs="FrankRuehl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2DC4215" wp14:editId="40805F57">
            <wp:simplePos x="0" y="0"/>
            <wp:positionH relativeFrom="column">
              <wp:posOffset>3547110</wp:posOffset>
            </wp:positionH>
            <wp:positionV relativeFrom="paragraph">
              <wp:posOffset>-118110</wp:posOffset>
            </wp:positionV>
            <wp:extent cx="1718164" cy="7620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16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1FF0" w14:textId="77777777" w:rsidR="003A3B6C" w:rsidRDefault="003A3B6C" w:rsidP="00E91A32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FrankRuehl" w:hAnsi="FrankRuehl" w:cs="FrankRuehl"/>
          <w:b/>
          <w:bCs/>
          <w:sz w:val="32"/>
          <w:szCs w:val="32"/>
          <w:rtl/>
        </w:rPr>
      </w:pPr>
    </w:p>
    <w:p w14:paraId="38FC2795" w14:textId="77777777" w:rsidR="004B6658" w:rsidRDefault="008243BB" w:rsidP="00EE39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8243BB">
        <w:rPr>
          <w:rFonts w:ascii="FrankRuehl" w:hAnsi="FrankRuehl" w:cs="FrankRuehl"/>
          <w:b/>
          <w:bCs/>
          <w:sz w:val="32"/>
          <w:szCs w:val="32"/>
          <w:rtl/>
        </w:rPr>
        <w:t>כתב עת שפיט לתלמידי מחקר במדעי הרוח</w:t>
      </w:r>
    </w:p>
    <w:p w14:paraId="3C876076" w14:textId="77777777" w:rsidR="004B6658" w:rsidRDefault="004B6658" w:rsidP="00E91A32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1551DCA9" w14:textId="77777777" w:rsidR="00C16795" w:rsidRDefault="00C16795" w:rsidP="00E91A32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7173DA10" w14:textId="0846BCF2" w:rsidR="004B6658" w:rsidRPr="00EE399C" w:rsidRDefault="004B6658" w:rsidP="00E91A32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  <w:r w:rsidRPr="00EE399C">
        <w:rPr>
          <w:rFonts w:ascii="David" w:hAnsi="David" w:cs="David"/>
          <w:b/>
          <w:bCs/>
          <w:sz w:val="36"/>
          <w:szCs w:val="36"/>
          <w:rtl/>
        </w:rPr>
        <w:t>הגשה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והתקנה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של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מאמרים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לכתב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="003A3B6C" w:rsidRPr="00EE399C">
        <w:rPr>
          <w:rFonts w:ascii="David" w:hAnsi="David" w:cs="David"/>
          <w:b/>
          <w:bCs/>
          <w:sz w:val="36"/>
          <w:szCs w:val="36"/>
          <w:rtl/>
        </w:rPr>
        <w:t>הע</w:t>
      </w:r>
      <w:r w:rsidR="003A3B6C" w:rsidRPr="00EE399C">
        <w:rPr>
          <w:rFonts w:ascii="David" w:hAnsi="David" w:cs="David" w:hint="cs"/>
          <w:b/>
          <w:bCs/>
          <w:sz w:val="36"/>
          <w:szCs w:val="36"/>
          <w:rtl/>
        </w:rPr>
        <w:t xml:space="preserve">ת </w:t>
      </w:r>
      <w:r w:rsidRPr="00EE399C">
        <w:rPr>
          <w:rFonts w:ascii="David" w:hAnsi="David" w:cs="David" w:hint="cs"/>
          <w:b/>
          <w:bCs/>
          <w:sz w:val="36"/>
          <w:szCs w:val="36"/>
          <w:rtl/>
        </w:rPr>
        <w:t>מוזה</w:t>
      </w:r>
      <w:r w:rsidR="000968DB" w:rsidRPr="00EE399C">
        <w:rPr>
          <w:rFonts w:ascii="David" w:hAnsi="David" w:cs="David" w:hint="cs"/>
          <w:b/>
          <w:bCs/>
          <w:sz w:val="36"/>
          <w:szCs w:val="36"/>
          <w:rtl/>
        </w:rPr>
        <w:t xml:space="preserve">: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הנחיות</w:t>
      </w:r>
      <w:r w:rsidRPr="00EE399C">
        <w:rPr>
          <w:rFonts w:ascii="David" w:hAnsi="David" w:cs="David"/>
          <w:b/>
          <w:bCs/>
          <w:sz w:val="36"/>
          <w:szCs w:val="36"/>
        </w:rPr>
        <w:t xml:space="preserve"> </w:t>
      </w:r>
      <w:r w:rsidRPr="00EE399C">
        <w:rPr>
          <w:rFonts w:ascii="David" w:hAnsi="David" w:cs="David"/>
          <w:b/>
          <w:bCs/>
          <w:sz w:val="36"/>
          <w:szCs w:val="36"/>
          <w:rtl/>
        </w:rPr>
        <w:t>למחברים</w:t>
      </w:r>
      <w:r w:rsidR="00BB5070">
        <w:rPr>
          <w:rFonts w:ascii="David" w:hAnsi="David" w:cs="David" w:hint="cs"/>
          <w:b/>
          <w:bCs/>
          <w:sz w:val="36"/>
          <w:szCs w:val="36"/>
          <w:rtl/>
        </w:rPr>
        <w:t>/</w:t>
      </w:r>
      <w:proofErr w:type="spellStart"/>
      <w:r w:rsidR="00BB5070">
        <w:rPr>
          <w:rFonts w:ascii="David" w:hAnsi="David" w:cs="David" w:hint="cs"/>
          <w:b/>
          <w:bCs/>
          <w:sz w:val="36"/>
          <w:szCs w:val="36"/>
          <w:rtl/>
        </w:rPr>
        <w:t>ות</w:t>
      </w:r>
      <w:proofErr w:type="spellEnd"/>
    </w:p>
    <w:p w14:paraId="0481953F" w14:textId="77777777" w:rsidR="004B6658" w:rsidRPr="008243BB" w:rsidRDefault="004B6658" w:rsidP="00E91A32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A475372" w14:textId="72275C91" w:rsidR="004B6658" w:rsidRPr="00EE399C" w:rsidRDefault="004B6658" w:rsidP="00E91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32"/>
          <w:szCs w:val="32"/>
        </w:rPr>
      </w:pPr>
      <w:r w:rsidRPr="00EE399C">
        <w:rPr>
          <w:rFonts w:ascii="David" w:hAnsi="David" w:cs="David"/>
          <w:b/>
          <w:bCs/>
          <w:sz w:val="32"/>
          <w:szCs w:val="32"/>
        </w:rPr>
        <w:t xml:space="preserve"> </w:t>
      </w:r>
      <w:r w:rsidRPr="00EE399C">
        <w:rPr>
          <w:rFonts w:ascii="David" w:hAnsi="David" w:cs="David"/>
          <w:b/>
          <w:bCs/>
          <w:sz w:val="32"/>
          <w:szCs w:val="32"/>
          <w:rtl/>
        </w:rPr>
        <w:t>נהלי</w:t>
      </w:r>
      <w:r w:rsidR="00373850" w:rsidRPr="00EE399C">
        <w:rPr>
          <w:rFonts w:ascii="David" w:hAnsi="David" w:cs="David" w:hint="cs"/>
          <w:b/>
          <w:bCs/>
          <w:sz w:val="32"/>
          <w:szCs w:val="32"/>
          <w:rtl/>
        </w:rPr>
        <w:t xml:space="preserve"> הגשה</w:t>
      </w:r>
    </w:p>
    <w:p w14:paraId="1D593A25" w14:textId="73B267C6" w:rsidR="004B6658" w:rsidRDefault="00F510ED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המאמרים יוגשו ל</w:t>
      </w:r>
      <w:r w:rsidR="004B6658" w:rsidRPr="008243BB">
        <w:rPr>
          <w:rFonts w:ascii="David" w:hAnsi="David" w:cs="David" w:hint="cs"/>
          <w:sz w:val="24"/>
          <w:szCs w:val="24"/>
          <w:rtl/>
        </w:rPr>
        <w:t>מערכת כתב העת "מוזה", לכתובת:</w:t>
      </w:r>
      <w:r w:rsidR="00AB2E5D">
        <w:rPr>
          <w:rFonts w:ascii="David" w:hAnsi="David" w:cs="David" w:hint="cs"/>
          <w:sz w:val="24"/>
          <w:szCs w:val="24"/>
          <w:rtl/>
        </w:rPr>
        <w:t xml:space="preserve"> </w:t>
      </w:r>
      <w:hyperlink r:id="rId6" w:history="1">
        <w:r w:rsidR="00457A90" w:rsidRPr="00C24CE9">
          <w:rPr>
            <w:rStyle w:val="Hyperlink"/>
            <w:rFonts w:ascii="David" w:hAnsi="David" w:cs="David"/>
            <w:sz w:val="24"/>
            <w:szCs w:val="24"/>
          </w:rPr>
          <w:t xml:space="preserve">muza.journal@mail.huji.ac.il </w:t>
        </w:r>
      </w:hyperlink>
    </w:p>
    <w:p w14:paraId="03186F7E" w14:textId="4F9C258E" w:rsidR="007656FE" w:rsidRPr="00F73677" w:rsidRDefault="00F510ED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73677">
        <w:rPr>
          <w:rFonts w:ascii="David" w:hAnsi="David" w:cs="David" w:hint="cs"/>
          <w:sz w:val="24"/>
          <w:szCs w:val="24"/>
          <w:rtl/>
        </w:rPr>
        <w:t>היקף</w:t>
      </w:r>
      <w:r w:rsidR="004B6658" w:rsidRPr="00F73677">
        <w:rPr>
          <w:rFonts w:ascii="David" w:hAnsi="David" w:cs="David" w:hint="cs"/>
          <w:sz w:val="24"/>
          <w:szCs w:val="24"/>
          <w:rtl/>
        </w:rPr>
        <w:t xml:space="preserve"> המאמרים י</w:t>
      </w:r>
      <w:r w:rsidR="00115F89" w:rsidRPr="00F73677">
        <w:rPr>
          <w:rFonts w:ascii="David" w:hAnsi="David" w:cs="David" w:hint="cs"/>
          <w:sz w:val="24"/>
          <w:szCs w:val="24"/>
          <w:rtl/>
        </w:rPr>
        <w:t xml:space="preserve">היה </w:t>
      </w:r>
      <w:r w:rsidR="00933ECC">
        <w:rPr>
          <w:rFonts w:ascii="David" w:hAnsi="David" w:cs="David" w:hint="cs"/>
          <w:sz w:val="24"/>
          <w:szCs w:val="24"/>
          <w:rtl/>
        </w:rPr>
        <w:t>בין 5,000-8,000</w:t>
      </w:r>
      <w:r w:rsidR="004B6658" w:rsidRPr="00F73677">
        <w:rPr>
          <w:rFonts w:ascii="David" w:hAnsi="David" w:cs="David" w:hint="cs"/>
          <w:sz w:val="24"/>
          <w:szCs w:val="24"/>
          <w:rtl/>
        </w:rPr>
        <w:t xml:space="preserve"> מילים.</w:t>
      </w:r>
      <w:r w:rsidR="00115F89" w:rsidRPr="00F73677">
        <w:rPr>
          <w:rFonts w:ascii="David" w:hAnsi="David" w:cs="David" w:hint="cs"/>
          <w:sz w:val="24"/>
          <w:szCs w:val="24"/>
          <w:rtl/>
        </w:rPr>
        <w:t xml:space="preserve"> ביקורות ספרים: כ־1000. מסות וראיונות: כ־2000.</w:t>
      </w:r>
    </w:p>
    <w:p w14:paraId="5B79E447" w14:textId="0F24EFE2" w:rsidR="007656FE" w:rsidRPr="008243BB" w:rsidRDefault="007656FE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תרשימים ותמונות </w:t>
      </w:r>
      <w:r w:rsidR="00115F89">
        <w:rPr>
          <w:rFonts w:ascii="David" w:hAnsi="David" w:cs="David" w:hint="cs"/>
          <w:sz w:val="24"/>
          <w:szCs w:val="24"/>
          <w:rtl/>
        </w:rPr>
        <w:t xml:space="preserve">יש לצרף </w:t>
      </w:r>
      <w:r>
        <w:rPr>
          <w:rFonts w:ascii="David" w:hAnsi="David" w:cs="David" w:hint="cs"/>
          <w:sz w:val="24"/>
          <w:szCs w:val="24"/>
          <w:rtl/>
        </w:rPr>
        <w:t>בקבצים נפרדים ולציין את מיקומם בגוף הטקסט.</w:t>
      </w:r>
    </w:p>
    <w:p w14:paraId="6E3757C7" w14:textId="5B477ACC" w:rsidR="004B6658" w:rsidRPr="008243BB" w:rsidRDefault="004B6658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243BB">
        <w:rPr>
          <w:rFonts w:ascii="David" w:hAnsi="David" w:cs="David" w:hint="cs"/>
          <w:sz w:val="24"/>
          <w:szCs w:val="24"/>
          <w:rtl/>
        </w:rPr>
        <w:t xml:space="preserve">המחבר או המחברת ידאגו לקבל </w:t>
      </w:r>
      <w:r w:rsidRPr="008243BB">
        <w:rPr>
          <w:rFonts w:ascii="David" w:hAnsi="David" w:cs="David"/>
          <w:b/>
          <w:bCs/>
          <w:sz w:val="24"/>
          <w:szCs w:val="24"/>
          <w:rtl/>
        </w:rPr>
        <w:t>אישור</w:t>
      </w:r>
      <w:r w:rsidRPr="008243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243BB">
        <w:rPr>
          <w:rFonts w:ascii="David" w:hAnsi="David" w:cs="David"/>
          <w:b/>
          <w:bCs/>
          <w:sz w:val="24"/>
          <w:szCs w:val="24"/>
          <w:rtl/>
        </w:rPr>
        <w:t>מבעלי</w:t>
      </w:r>
      <w:r w:rsidRPr="008243BB">
        <w:rPr>
          <w:rFonts w:ascii="David" w:hAnsi="David" w:cs="David"/>
          <w:b/>
          <w:bCs/>
          <w:sz w:val="24"/>
          <w:szCs w:val="24"/>
        </w:rPr>
        <w:t xml:space="preserve"> </w:t>
      </w:r>
      <w:r w:rsidRPr="008243BB">
        <w:rPr>
          <w:rFonts w:ascii="David" w:hAnsi="David" w:cs="David"/>
          <w:b/>
          <w:bCs/>
          <w:sz w:val="24"/>
          <w:szCs w:val="24"/>
          <w:rtl/>
        </w:rPr>
        <w:t>זכויות</w:t>
      </w:r>
      <w:r w:rsidRPr="008243BB">
        <w:rPr>
          <w:rFonts w:ascii="David" w:hAnsi="David" w:cs="David"/>
          <w:b/>
          <w:bCs/>
          <w:sz w:val="24"/>
          <w:szCs w:val="24"/>
        </w:rPr>
        <w:t xml:space="preserve"> </w:t>
      </w:r>
      <w:r w:rsidRPr="008243BB">
        <w:rPr>
          <w:rFonts w:ascii="David" w:hAnsi="David" w:cs="David"/>
          <w:b/>
          <w:bCs/>
          <w:sz w:val="24"/>
          <w:szCs w:val="24"/>
          <w:rtl/>
        </w:rPr>
        <w:t>היוצרים</w:t>
      </w:r>
      <w:r w:rsidRPr="008243BB">
        <w:rPr>
          <w:rFonts w:ascii="David" w:hAnsi="David" w:cs="David"/>
          <w:b/>
          <w:bCs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לפרסום</w:t>
      </w:r>
      <w:r w:rsidRPr="008243BB">
        <w:rPr>
          <w:rFonts w:ascii="David" w:hAnsi="David" w:cs="David"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בתי</w:t>
      </w:r>
      <w:r w:rsidRPr="008243BB">
        <w:rPr>
          <w:rFonts w:ascii="David" w:hAnsi="David" w:cs="David"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שי</w:t>
      </w:r>
      <w:r w:rsidRPr="008243BB">
        <w:rPr>
          <w:rFonts w:ascii="David" w:hAnsi="David" w:cs="David" w:hint="cs"/>
          <w:sz w:val="24"/>
          <w:szCs w:val="24"/>
          <w:rtl/>
        </w:rPr>
        <w:t xml:space="preserve">ר, </w:t>
      </w:r>
      <w:r w:rsidRPr="008243BB">
        <w:rPr>
          <w:rFonts w:ascii="David" w:hAnsi="David" w:cs="David"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מפות</w:t>
      </w:r>
      <w:r w:rsidRPr="008243BB">
        <w:rPr>
          <w:rFonts w:ascii="David" w:hAnsi="David" w:cs="David" w:hint="cs"/>
          <w:sz w:val="24"/>
          <w:szCs w:val="24"/>
          <w:rtl/>
        </w:rPr>
        <w:t>, ת</w:t>
      </w:r>
      <w:r w:rsidRPr="008243BB">
        <w:rPr>
          <w:rFonts w:ascii="David" w:hAnsi="David" w:cs="David"/>
          <w:sz w:val="24"/>
          <w:szCs w:val="24"/>
          <w:rtl/>
        </w:rPr>
        <w:t>צלומים</w:t>
      </w:r>
      <w:r w:rsidRPr="008243BB">
        <w:rPr>
          <w:rFonts w:ascii="David" w:hAnsi="David" w:cs="David"/>
          <w:sz w:val="24"/>
          <w:szCs w:val="24"/>
        </w:rPr>
        <w:t>,</w:t>
      </w:r>
      <w:r w:rsidRPr="008243BB">
        <w:rPr>
          <w:rFonts w:ascii="David" w:hAnsi="David" w:cs="David" w:hint="cs"/>
          <w:sz w:val="24"/>
          <w:szCs w:val="24"/>
          <w:rtl/>
        </w:rPr>
        <w:t xml:space="preserve"> </w:t>
      </w:r>
      <w:r w:rsidR="007656FE">
        <w:rPr>
          <w:rFonts w:ascii="David" w:hAnsi="David" w:cs="David"/>
          <w:sz w:val="24"/>
          <w:szCs w:val="24"/>
          <w:rtl/>
        </w:rPr>
        <w:t>איור</w:t>
      </w:r>
      <w:r w:rsidR="007656FE">
        <w:rPr>
          <w:rFonts w:ascii="David" w:hAnsi="David" w:cs="David" w:hint="cs"/>
          <w:sz w:val="24"/>
          <w:szCs w:val="24"/>
          <w:rtl/>
        </w:rPr>
        <w:t xml:space="preserve">ים, </w:t>
      </w:r>
      <w:r w:rsidRPr="008243BB">
        <w:rPr>
          <w:rFonts w:ascii="David" w:hAnsi="David" w:cs="David"/>
          <w:sz w:val="24"/>
          <w:szCs w:val="24"/>
          <w:rtl/>
        </w:rPr>
        <w:t>כרזות</w:t>
      </w:r>
      <w:r w:rsidRPr="008243BB">
        <w:rPr>
          <w:rFonts w:ascii="David" w:hAnsi="David" w:cs="David"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וכיוצא</w:t>
      </w:r>
      <w:r w:rsidRPr="008243BB">
        <w:rPr>
          <w:rFonts w:ascii="David" w:hAnsi="David" w:cs="David"/>
          <w:sz w:val="24"/>
          <w:szCs w:val="24"/>
        </w:rPr>
        <w:t xml:space="preserve"> </w:t>
      </w:r>
      <w:r w:rsidRPr="008243BB">
        <w:rPr>
          <w:rFonts w:ascii="David" w:hAnsi="David" w:cs="David"/>
          <w:sz w:val="24"/>
          <w:szCs w:val="24"/>
          <w:rtl/>
        </w:rPr>
        <w:t>בזה</w:t>
      </w:r>
      <w:r w:rsidRPr="008243BB">
        <w:rPr>
          <w:rFonts w:ascii="David" w:hAnsi="David" w:cs="David"/>
          <w:sz w:val="24"/>
          <w:szCs w:val="24"/>
        </w:rPr>
        <w:t>.</w:t>
      </w:r>
    </w:p>
    <w:p w14:paraId="5C2F51EC" w14:textId="3C162E50" w:rsidR="008243BB" w:rsidRDefault="008243BB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243BB">
        <w:rPr>
          <w:rFonts w:ascii="David" w:hAnsi="David" w:cs="David" w:hint="cs"/>
          <w:sz w:val="24"/>
          <w:szCs w:val="24"/>
          <w:rtl/>
        </w:rPr>
        <w:t>בעת הגשת מאמר, יש לוודא ששם המ</w:t>
      </w:r>
      <w:r w:rsidR="00115F89">
        <w:rPr>
          <w:rFonts w:ascii="David" w:hAnsi="David" w:cs="David" w:hint="cs"/>
          <w:sz w:val="24"/>
          <w:szCs w:val="24"/>
          <w:rtl/>
        </w:rPr>
        <w:t>חבר</w:t>
      </w:r>
      <w:r w:rsidR="00BB5070">
        <w:rPr>
          <w:rFonts w:ascii="David" w:hAnsi="David" w:cs="David" w:hint="cs"/>
          <w:sz w:val="24"/>
          <w:szCs w:val="24"/>
          <w:rtl/>
        </w:rPr>
        <w:t>/ת</w:t>
      </w:r>
      <w:r w:rsidR="00115F89">
        <w:rPr>
          <w:rFonts w:ascii="David" w:hAnsi="David" w:cs="David" w:hint="cs"/>
          <w:sz w:val="24"/>
          <w:szCs w:val="24"/>
          <w:rtl/>
        </w:rPr>
        <w:t xml:space="preserve"> אינו נזכר ב</w:t>
      </w:r>
      <w:r w:rsidRPr="008243BB">
        <w:rPr>
          <w:rFonts w:ascii="David" w:hAnsi="David" w:cs="David" w:hint="cs"/>
          <w:sz w:val="24"/>
          <w:szCs w:val="24"/>
          <w:rtl/>
        </w:rPr>
        <w:t>טקסט בראשי תיבות או בצורה</w:t>
      </w:r>
      <w:r w:rsidR="00373850">
        <w:rPr>
          <w:rFonts w:ascii="David" w:hAnsi="David" w:cs="David" w:hint="cs"/>
          <w:sz w:val="24"/>
          <w:szCs w:val="24"/>
          <w:rtl/>
        </w:rPr>
        <w:t xml:space="preserve"> אחרת; תחת זאת, </w:t>
      </w:r>
      <w:r w:rsidR="0079186F">
        <w:rPr>
          <w:rFonts w:ascii="David" w:hAnsi="David" w:cs="David" w:hint="cs"/>
          <w:sz w:val="24"/>
          <w:szCs w:val="24"/>
          <w:rtl/>
        </w:rPr>
        <w:t>המאמר ילווה בקובץ נפרד שיכיל</w:t>
      </w:r>
      <w:r w:rsidR="00373850">
        <w:rPr>
          <w:rFonts w:ascii="David" w:hAnsi="David" w:cs="David" w:hint="cs"/>
          <w:sz w:val="24"/>
          <w:szCs w:val="24"/>
          <w:rtl/>
        </w:rPr>
        <w:t xml:space="preserve"> עמוד שער</w:t>
      </w:r>
      <w:r w:rsidRPr="008243BB">
        <w:rPr>
          <w:rFonts w:ascii="David" w:hAnsi="David" w:cs="David" w:hint="cs"/>
          <w:sz w:val="24"/>
          <w:szCs w:val="24"/>
          <w:rtl/>
        </w:rPr>
        <w:t xml:space="preserve"> </w:t>
      </w:r>
      <w:r w:rsidRPr="008243BB">
        <w:rPr>
          <w:rFonts w:ascii="David" w:hAnsi="David" w:cs="David"/>
          <w:sz w:val="24"/>
          <w:szCs w:val="24"/>
        </w:rPr>
        <w:t>(cover letter)</w:t>
      </w:r>
      <w:r w:rsidRPr="008243BB">
        <w:rPr>
          <w:rFonts w:ascii="David" w:hAnsi="David" w:cs="David" w:hint="cs"/>
          <w:sz w:val="24"/>
          <w:szCs w:val="24"/>
          <w:rtl/>
        </w:rPr>
        <w:t xml:space="preserve"> ובו יופיע</w:t>
      </w:r>
      <w:r w:rsidR="00115F89">
        <w:rPr>
          <w:rFonts w:ascii="David" w:hAnsi="David" w:cs="David" w:hint="cs"/>
          <w:sz w:val="24"/>
          <w:szCs w:val="24"/>
          <w:rtl/>
        </w:rPr>
        <w:t>ו</w:t>
      </w:r>
      <w:r w:rsidRPr="008243BB">
        <w:rPr>
          <w:rFonts w:ascii="David" w:hAnsi="David" w:cs="David" w:hint="cs"/>
          <w:sz w:val="24"/>
          <w:szCs w:val="24"/>
          <w:rtl/>
        </w:rPr>
        <w:t xml:space="preserve">: שם המחבר/ת (בעברית ובאנגלית), כתובת הדוא"ל, שיוך אוניברסיטאי/אקדמי/המקצועי/אחר </w:t>
      </w:r>
      <w:r w:rsidRPr="008243BB">
        <w:rPr>
          <w:rFonts w:ascii="David" w:hAnsi="David" w:cs="David"/>
          <w:sz w:val="24"/>
          <w:szCs w:val="24"/>
          <w:rtl/>
        </w:rPr>
        <w:t>ומספר</w:t>
      </w:r>
      <w:r w:rsidR="004B6658" w:rsidRPr="008243BB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הטלפו</w:t>
      </w:r>
      <w:r>
        <w:rPr>
          <w:rFonts w:ascii="David" w:hAnsi="David" w:cs="David" w:hint="cs"/>
          <w:sz w:val="24"/>
          <w:szCs w:val="24"/>
          <w:rtl/>
        </w:rPr>
        <w:t>ן.</w:t>
      </w:r>
    </w:p>
    <w:p w14:paraId="1E66A27A" w14:textId="04D8F0F2" w:rsidR="004B6658" w:rsidRDefault="008243BB" w:rsidP="00E91A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BB5070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="00F510ED" w:rsidRPr="00BB5070">
        <w:rPr>
          <w:rFonts w:ascii="David" w:hAnsi="David" w:cs="David" w:hint="cs"/>
          <w:b/>
          <w:bCs/>
          <w:sz w:val="24"/>
          <w:szCs w:val="24"/>
          <w:rtl/>
        </w:rPr>
        <w:t xml:space="preserve"> מאמר המוגש לשיפוט ילווה בתקציר</w:t>
      </w:r>
      <w:r w:rsidR="00373850" w:rsidRPr="00BB5070">
        <w:rPr>
          <w:rFonts w:ascii="David" w:hAnsi="David" w:cs="David" w:hint="cs"/>
          <w:b/>
          <w:bCs/>
          <w:sz w:val="24"/>
          <w:szCs w:val="24"/>
          <w:rtl/>
        </w:rPr>
        <w:t xml:space="preserve"> בעברית </w:t>
      </w:r>
      <w:r w:rsidR="00B72B5D" w:rsidRPr="00BB5070">
        <w:rPr>
          <w:rFonts w:ascii="David" w:hAnsi="David" w:cs="David" w:hint="cs"/>
          <w:b/>
          <w:bCs/>
          <w:sz w:val="24"/>
          <w:szCs w:val="24"/>
          <w:rtl/>
        </w:rPr>
        <w:t xml:space="preserve">ובאנגלית </w:t>
      </w:r>
      <w:r w:rsidR="00373850" w:rsidRPr="00BB5070">
        <w:rPr>
          <w:rFonts w:ascii="David" w:hAnsi="David" w:cs="David" w:hint="cs"/>
          <w:b/>
          <w:bCs/>
          <w:sz w:val="24"/>
          <w:szCs w:val="24"/>
          <w:rtl/>
        </w:rPr>
        <w:t>שאורכו לא יעלה על</w:t>
      </w:r>
      <w:r w:rsidRPr="00BB5070">
        <w:rPr>
          <w:rFonts w:ascii="David" w:hAnsi="David" w:cs="David" w:hint="cs"/>
          <w:b/>
          <w:bCs/>
          <w:sz w:val="24"/>
          <w:szCs w:val="24"/>
          <w:rtl/>
        </w:rPr>
        <w:t xml:space="preserve"> 400 מיל</w:t>
      </w:r>
      <w:r w:rsidR="00373850" w:rsidRPr="00BB5070">
        <w:rPr>
          <w:rFonts w:ascii="David" w:hAnsi="David" w:cs="David" w:hint="cs"/>
          <w:b/>
          <w:bCs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D0B68">
        <w:rPr>
          <w:rFonts w:ascii="David" w:hAnsi="David" w:cs="David"/>
          <w:sz w:val="24"/>
          <w:szCs w:val="24"/>
          <w:rtl/>
        </w:rPr>
        <w:br/>
      </w:r>
    </w:p>
    <w:p w14:paraId="6273F0B2" w14:textId="77777777" w:rsidR="008243BB" w:rsidRPr="00EE399C" w:rsidRDefault="004B6658" w:rsidP="00E91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32"/>
          <w:szCs w:val="32"/>
        </w:rPr>
      </w:pPr>
      <w:r w:rsidRPr="00EE399C">
        <w:rPr>
          <w:rFonts w:ascii="David" w:hAnsi="David" w:cs="David"/>
          <w:b/>
          <w:bCs/>
          <w:sz w:val="32"/>
          <w:szCs w:val="32"/>
          <w:rtl/>
        </w:rPr>
        <w:t>התקנה</w:t>
      </w:r>
      <w:r w:rsidR="008243BB" w:rsidRPr="00EE399C">
        <w:rPr>
          <w:rFonts w:ascii="David" w:hAnsi="David" w:cs="David"/>
          <w:b/>
          <w:bCs/>
          <w:sz w:val="32"/>
          <w:szCs w:val="32"/>
        </w:rPr>
        <w:t xml:space="preserve"> </w:t>
      </w:r>
      <w:r w:rsidR="008243BB" w:rsidRPr="00EE399C">
        <w:rPr>
          <w:rFonts w:ascii="David" w:hAnsi="David" w:cs="David" w:hint="cs"/>
          <w:b/>
          <w:bCs/>
          <w:sz w:val="32"/>
          <w:szCs w:val="32"/>
          <w:rtl/>
        </w:rPr>
        <w:t>ועיצוב</w:t>
      </w:r>
    </w:p>
    <w:p w14:paraId="14E5B65B" w14:textId="251BD07F" w:rsidR="008243BB" w:rsidRDefault="008243BB" w:rsidP="007918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הטקסט י</w:t>
      </w:r>
      <w:r w:rsidR="00115F89">
        <w:rPr>
          <w:rFonts w:ascii="David" w:hAnsi="David" w:cs="David" w:hint="cs"/>
          <w:sz w:val="24"/>
          <w:szCs w:val="24"/>
          <w:rtl/>
        </w:rPr>
        <w:t>יכתב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15F89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גופן </w:t>
      </w:r>
      <w:r w:rsidR="0012713F">
        <w:rPr>
          <w:rFonts w:ascii="David" w:hAnsi="David" w:cs="David"/>
          <w:sz w:val="24"/>
          <w:szCs w:val="24"/>
        </w:rPr>
        <w:t>David</w:t>
      </w:r>
      <w:r w:rsidR="00B43CA8">
        <w:rPr>
          <w:rFonts w:ascii="David" w:hAnsi="David" w:cs="David" w:hint="cs"/>
          <w:sz w:val="24"/>
          <w:szCs w:val="24"/>
          <w:rtl/>
        </w:rPr>
        <w:t xml:space="preserve"> בגודל 12 ברווח כפול וביישור דו־</w:t>
      </w:r>
      <w:r>
        <w:rPr>
          <w:rFonts w:ascii="David" w:hAnsi="David" w:cs="David" w:hint="cs"/>
          <w:sz w:val="24"/>
          <w:szCs w:val="24"/>
          <w:rtl/>
        </w:rPr>
        <w:t xml:space="preserve">צדי. </w:t>
      </w:r>
    </w:p>
    <w:p w14:paraId="0AB32D32" w14:textId="62EFC0C5" w:rsidR="003173DA" w:rsidRDefault="008243BB" w:rsidP="00695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243BB">
        <w:rPr>
          <w:rFonts w:ascii="David" w:hAnsi="David" w:cs="David" w:hint="cs"/>
          <w:sz w:val="24"/>
          <w:szCs w:val="24"/>
          <w:rtl/>
        </w:rPr>
        <w:t xml:space="preserve">שמות </w:t>
      </w:r>
      <w:r>
        <w:rPr>
          <w:rFonts w:ascii="David" w:hAnsi="David" w:cs="David" w:hint="cs"/>
          <w:sz w:val="24"/>
          <w:szCs w:val="24"/>
          <w:rtl/>
        </w:rPr>
        <w:t>פרסומים</w:t>
      </w:r>
      <w:r w:rsidR="00E751E1">
        <w:rPr>
          <w:rFonts w:ascii="David" w:hAnsi="David" w:cs="David" w:hint="cs"/>
          <w:sz w:val="24"/>
          <w:szCs w:val="24"/>
          <w:rtl/>
        </w:rPr>
        <w:t xml:space="preserve"> וכותרים</w:t>
      </w:r>
      <w:r w:rsidR="009E743B">
        <w:rPr>
          <w:rFonts w:ascii="David" w:hAnsi="David" w:cs="David" w:hint="cs"/>
          <w:sz w:val="24"/>
          <w:szCs w:val="24"/>
          <w:rtl/>
        </w:rPr>
        <w:t xml:space="preserve"> בעברית יופיעו בהדגשה</w:t>
      </w:r>
      <w:r>
        <w:rPr>
          <w:rFonts w:ascii="David" w:hAnsi="David" w:cs="David" w:hint="cs"/>
          <w:sz w:val="24"/>
          <w:szCs w:val="24"/>
          <w:rtl/>
        </w:rPr>
        <w:t xml:space="preserve"> גם בגוף הטקסט וגם ברשימה הביבליוגרפית ו/או בהערות השוליים.</w:t>
      </w:r>
      <w:r w:rsidR="003173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2C342D9" w14:textId="2703EFF7" w:rsidR="002A4009" w:rsidRPr="003173DA" w:rsidRDefault="002A4009" w:rsidP="00695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2A4009">
        <w:rPr>
          <w:rFonts w:ascii="David" w:hAnsi="David" w:cs="David"/>
          <w:sz w:val="24"/>
          <w:szCs w:val="24"/>
          <w:rtl/>
        </w:rPr>
        <w:t xml:space="preserve">הדגשת טקסט </w:t>
      </w:r>
      <w:r w:rsidR="00066D6D">
        <w:rPr>
          <w:rFonts w:ascii="David" w:hAnsi="David" w:cs="David" w:hint="cs"/>
          <w:sz w:val="24"/>
          <w:szCs w:val="24"/>
          <w:rtl/>
        </w:rPr>
        <w:t xml:space="preserve">בעברית </w:t>
      </w:r>
      <w:r w:rsidRPr="002A4009">
        <w:rPr>
          <w:rFonts w:ascii="David" w:hAnsi="David" w:cs="David"/>
          <w:sz w:val="24"/>
          <w:szCs w:val="24"/>
          <w:rtl/>
        </w:rPr>
        <w:t xml:space="preserve">תיעשה בגופן מודגש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2A4009">
        <w:rPr>
          <w:rFonts w:ascii="David" w:hAnsi="David" w:cs="David"/>
          <w:sz w:val="24"/>
          <w:szCs w:val="24"/>
          <w:rtl/>
        </w:rPr>
        <w:t>ורצוי להמעיט בהדגשות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2A4009">
        <w:rPr>
          <w:rFonts w:ascii="David" w:hAnsi="David" w:cs="David"/>
          <w:sz w:val="24"/>
          <w:szCs w:val="24"/>
          <w:rtl/>
        </w:rPr>
        <w:t xml:space="preserve">. סימן הפיסוק הצמוד למילה מודגשת יופיע ללא הדגשה. הדגשת מילים בלועזית תיעשה </w:t>
      </w:r>
      <w:r w:rsidR="00066D6D">
        <w:rPr>
          <w:rFonts w:ascii="David" w:hAnsi="David" w:cs="David" w:hint="cs"/>
          <w:sz w:val="24"/>
          <w:szCs w:val="24"/>
          <w:rtl/>
        </w:rPr>
        <w:t>בגופן נטוי</w:t>
      </w:r>
      <w:r w:rsidRPr="002A4009">
        <w:rPr>
          <w:rFonts w:ascii="David" w:hAnsi="David" w:cs="David"/>
          <w:sz w:val="24"/>
          <w:szCs w:val="24"/>
          <w:rtl/>
        </w:rPr>
        <w:t>.</w:t>
      </w:r>
    </w:p>
    <w:p w14:paraId="28A04161" w14:textId="75DC2C9F" w:rsidR="00AD0942" w:rsidRPr="00F73677" w:rsidRDefault="00B72B5D" w:rsidP="00695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נדרש לכלול את כל המקורות והמחקרים שיש אליהם התייחסות במאמר בהערות השוליים. </w:t>
      </w:r>
      <w:r w:rsidR="00D20112">
        <w:rPr>
          <w:rFonts w:ascii="David" w:hAnsi="David" w:cs="David" w:hint="cs"/>
          <w:sz w:val="24"/>
          <w:szCs w:val="24"/>
          <w:rtl/>
        </w:rPr>
        <w:t xml:space="preserve">על </w:t>
      </w:r>
      <w:r w:rsidR="00AD0942" w:rsidRPr="00F73677">
        <w:rPr>
          <w:rFonts w:ascii="David" w:hAnsi="David" w:cs="David" w:hint="cs"/>
          <w:sz w:val="24"/>
          <w:szCs w:val="24"/>
          <w:rtl/>
        </w:rPr>
        <w:t xml:space="preserve">הערות השוליים </w:t>
      </w:r>
      <w:r w:rsidR="00D20112">
        <w:rPr>
          <w:rFonts w:ascii="David" w:hAnsi="David" w:cs="David" w:hint="cs"/>
          <w:sz w:val="24"/>
          <w:szCs w:val="24"/>
          <w:rtl/>
        </w:rPr>
        <w:t>להיות בהתאם ל-</w:t>
      </w:r>
      <w:r w:rsidR="00AD0942" w:rsidRPr="00F73677">
        <w:rPr>
          <w:rFonts w:ascii="David" w:hAnsi="David" w:cs="David" w:hint="cs"/>
          <w:sz w:val="24"/>
          <w:szCs w:val="24"/>
          <w:rtl/>
        </w:rPr>
        <w:t xml:space="preserve"> </w:t>
      </w:r>
      <w:r w:rsidR="00AD0942" w:rsidRPr="00F73677">
        <w:rPr>
          <w:rFonts w:ascii="David" w:hAnsi="David" w:cs="David"/>
          <w:sz w:val="24"/>
          <w:szCs w:val="24"/>
        </w:rPr>
        <w:t>Chicago Manual of Style</w:t>
      </w:r>
      <w:r w:rsidR="00AD0942" w:rsidRPr="00F73677">
        <w:rPr>
          <w:rFonts w:ascii="David" w:hAnsi="David" w:cs="David" w:hint="cs"/>
          <w:sz w:val="24"/>
          <w:szCs w:val="24"/>
          <w:rtl/>
        </w:rPr>
        <w:t xml:space="preserve"> כמפורט </w:t>
      </w:r>
      <w:r w:rsidR="00960904" w:rsidRPr="00F73677">
        <w:rPr>
          <w:rFonts w:ascii="David" w:hAnsi="David" w:cs="David" w:hint="cs"/>
          <w:sz w:val="24"/>
          <w:szCs w:val="24"/>
          <w:rtl/>
        </w:rPr>
        <w:t>בסוף המסמך.</w:t>
      </w:r>
    </w:p>
    <w:p w14:paraId="4FB384A9" w14:textId="361AA09A" w:rsidR="00442455" w:rsidRDefault="00442455" w:rsidP="00695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442455">
        <w:rPr>
          <w:rFonts w:ascii="David" w:hAnsi="David" w:cs="David"/>
          <w:sz w:val="24"/>
          <w:szCs w:val="24"/>
          <w:rtl/>
        </w:rPr>
        <w:t xml:space="preserve">בטקסט ישמשו מירכאות כפולות לכל עניין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442455">
        <w:rPr>
          <w:rFonts w:ascii="David" w:hAnsi="David" w:cs="David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442455">
        <w:rPr>
          <w:rFonts w:ascii="David" w:hAnsi="David" w:cs="David"/>
          <w:sz w:val="24"/>
          <w:szCs w:val="24"/>
          <w:rtl/>
        </w:rPr>
        <w:t>. מירכא בודד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42455">
        <w:rPr>
          <w:rFonts w:ascii="David" w:hAnsi="David" w:cs="David"/>
          <w:sz w:val="24"/>
          <w:szCs w:val="24"/>
          <w:rtl/>
        </w:rPr>
        <w:t>(')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442455">
        <w:rPr>
          <w:rFonts w:ascii="David" w:hAnsi="David" w:cs="David"/>
          <w:sz w:val="24"/>
          <w:szCs w:val="24"/>
          <w:rtl/>
        </w:rPr>
        <w:t>ישמש רק לציון מירכאות בתוך מירכאות. מונחים באנגלית ייכתבו ללא מירכאות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442455">
        <w:rPr>
          <w:rFonts w:ascii="David" w:hAnsi="David" w:cs="David"/>
          <w:sz w:val="24"/>
          <w:szCs w:val="24"/>
          <w:rtl/>
        </w:rPr>
        <w:t xml:space="preserve"> ובדרך כלל באותיות קטנות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442455">
        <w:rPr>
          <w:rFonts w:ascii="David" w:hAnsi="David" w:cs="David"/>
          <w:sz w:val="24"/>
          <w:szCs w:val="24"/>
        </w:rPr>
        <w:t>lower case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442455">
        <w:rPr>
          <w:rFonts w:ascii="David" w:hAnsi="David" w:cs="David"/>
          <w:sz w:val="24"/>
          <w:szCs w:val="24"/>
          <w:rtl/>
        </w:rPr>
        <w:t xml:space="preserve">.  </w:t>
      </w:r>
    </w:p>
    <w:p w14:paraId="36900864" w14:textId="39FB8243" w:rsidR="00E80A3B" w:rsidRPr="00695EE0" w:rsidRDefault="00E80A3B" w:rsidP="005C5E0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695EE0">
        <w:rPr>
          <w:rFonts w:ascii="David" w:hAnsi="David" w:cs="David"/>
          <w:sz w:val="24"/>
          <w:szCs w:val="24"/>
          <w:rtl/>
        </w:rPr>
        <w:t>הערת כוכבית עניינה דברי תודה</w:t>
      </w:r>
      <w:r w:rsidR="00244B4D" w:rsidRPr="00695EE0">
        <w:rPr>
          <w:rFonts w:ascii="David" w:hAnsi="David" w:cs="David" w:hint="cs"/>
          <w:sz w:val="24"/>
          <w:szCs w:val="24"/>
          <w:rtl/>
        </w:rPr>
        <w:t xml:space="preserve"> ו</w:t>
      </w:r>
      <w:r w:rsidRPr="00695EE0">
        <w:rPr>
          <w:rFonts w:ascii="David" w:hAnsi="David" w:cs="David"/>
          <w:sz w:val="24"/>
          <w:szCs w:val="24"/>
          <w:rtl/>
        </w:rPr>
        <w:t xml:space="preserve">הסבר כללי על המאמר. היא תבוא </w:t>
      </w:r>
      <w:r w:rsidR="008C4DFE">
        <w:rPr>
          <w:rFonts w:ascii="David" w:hAnsi="David" w:cs="David" w:hint="cs"/>
          <w:sz w:val="24"/>
          <w:szCs w:val="24"/>
          <w:rtl/>
        </w:rPr>
        <w:t>בתחתית העמוד הפותח של המאמר</w:t>
      </w:r>
      <w:r w:rsidRPr="00695EE0">
        <w:rPr>
          <w:rFonts w:ascii="David" w:hAnsi="David" w:cs="David"/>
          <w:sz w:val="24"/>
          <w:szCs w:val="24"/>
          <w:rtl/>
        </w:rPr>
        <w:t xml:space="preserve"> ותצוין בכוכבית.</w:t>
      </w:r>
      <w:r w:rsidRPr="00695EE0">
        <w:rPr>
          <w:rFonts w:ascii="David" w:hAnsi="David" w:cs="David" w:hint="cs"/>
          <w:sz w:val="24"/>
          <w:szCs w:val="24"/>
          <w:rtl/>
        </w:rPr>
        <w:t xml:space="preserve"> </w:t>
      </w:r>
      <w:r w:rsidRPr="00695EE0">
        <w:rPr>
          <w:rFonts w:ascii="David" w:hAnsi="David" w:cs="David"/>
          <w:sz w:val="24"/>
          <w:szCs w:val="24"/>
          <w:rtl/>
        </w:rPr>
        <w:t>הכוכבית לא תסומן בכותרת המאמר.</w:t>
      </w:r>
      <w:r w:rsidR="00244B4D" w:rsidRPr="00695EE0">
        <w:rPr>
          <w:rFonts w:ascii="David" w:hAnsi="David" w:cs="David" w:hint="cs"/>
          <w:sz w:val="24"/>
          <w:szCs w:val="24"/>
          <w:rtl/>
        </w:rPr>
        <w:t xml:space="preserve"> הערת הכוכבית תכלול את שיוכה המוסדי של מחבר</w:t>
      </w:r>
      <w:r w:rsidR="00BB5070">
        <w:rPr>
          <w:rFonts w:ascii="David" w:hAnsi="David" w:cs="David" w:hint="cs"/>
          <w:sz w:val="24"/>
          <w:szCs w:val="24"/>
          <w:rtl/>
        </w:rPr>
        <w:t>/</w:t>
      </w:r>
      <w:r w:rsidR="00244B4D" w:rsidRPr="00695EE0">
        <w:rPr>
          <w:rFonts w:ascii="David" w:hAnsi="David" w:cs="David" w:hint="cs"/>
          <w:sz w:val="24"/>
          <w:szCs w:val="24"/>
          <w:rtl/>
        </w:rPr>
        <w:t>ת המאמר</w:t>
      </w:r>
      <w:r w:rsidR="00695EE0" w:rsidRPr="00695EE0">
        <w:rPr>
          <w:rFonts w:ascii="David" w:hAnsi="David" w:cs="David" w:hint="cs"/>
          <w:sz w:val="24"/>
          <w:szCs w:val="24"/>
          <w:rtl/>
        </w:rPr>
        <w:t xml:space="preserve"> </w:t>
      </w:r>
      <w:r w:rsidR="00244B4D" w:rsidRPr="00695EE0">
        <w:rPr>
          <w:rFonts w:ascii="David" w:hAnsi="David" w:cs="David" w:hint="cs"/>
          <w:sz w:val="24"/>
          <w:szCs w:val="24"/>
          <w:rtl/>
        </w:rPr>
        <w:t xml:space="preserve">והתייחסות נוספת למקור המאמר. לדוגמה: </w:t>
      </w:r>
      <w:r w:rsidR="00695EE0" w:rsidRPr="00695EE0">
        <w:rPr>
          <w:rFonts w:ascii="David" w:hAnsi="David" w:cs="David" w:hint="cs"/>
          <w:sz w:val="24"/>
          <w:szCs w:val="24"/>
          <w:rtl/>
        </w:rPr>
        <w:t>"</w:t>
      </w:r>
      <w:r w:rsidR="00244B4D" w:rsidRPr="00695EE0">
        <w:rPr>
          <w:rFonts w:ascii="David" w:hAnsi="David" w:cs="David"/>
          <w:sz w:val="24"/>
          <w:szCs w:val="24"/>
          <w:rtl/>
        </w:rPr>
        <w:t>המאמר מבוסס על עבודת גמר לתואר מוסמך שנכתבה בחוג להיסטוריה כללית באוניברסיטת תל</w:t>
      </w:r>
      <w:r w:rsidR="002B4EA8">
        <w:rPr>
          <w:rFonts w:ascii="David" w:hAnsi="David" w:cs="David" w:hint="cs"/>
          <w:sz w:val="24"/>
          <w:szCs w:val="24"/>
          <w:rtl/>
        </w:rPr>
        <w:t xml:space="preserve"> </w:t>
      </w:r>
      <w:r w:rsidR="00244B4D" w:rsidRPr="00695EE0">
        <w:rPr>
          <w:rFonts w:ascii="David" w:hAnsi="David" w:cs="David"/>
          <w:sz w:val="24"/>
          <w:szCs w:val="24"/>
          <w:rtl/>
        </w:rPr>
        <w:t>אביב</w:t>
      </w:r>
      <w:r w:rsidR="00695EE0" w:rsidRPr="00695EE0">
        <w:rPr>
          <w:rFonts w:ascii="David" w:hAnsi="David" w:cs="David" w:hint="cs"/>
          <w:sz w:val="24"/>
          <w:szCs w:val="24"/>
          <w:rtl/>
        </w:rPr>
        <w:t xml:space="preserve"> </w:t>
      </w:r>
      <w:r w:rsidR="00244B4D" w:rsidRPr="00695EE0">
        <w:rPr>
          <w:rFonts w:ascii="David" w:hAnsi="David" w:cs="David"/>
          <w:sz w:val="24"/>
          <w:szCs w:val="24"/>
          <w:rtl/>
        </w:rPr>
        <w:t>בהנחיית פרופ' דוד כץ. ראו: רודי קיסלר, "בדיה כהיסטוריה: החפיפה בין כתיבה היסטורית לסיפורת</w:t>
      </w:r>
      <w:r w:rsidR="00695EE0" w:rsidRPr="00695EE0">
        <w:rPr>
          <w:rFonts w:ascii="David" w:hAnsi="David" w:cs="David" w:hint="cs"/>
          <w:sz w:val="24"/>
          <w:szCs w:val="24"/>
          <w:rtl/>
        </w:rPr>
        <w:t xml:space="preserve"> </w:t>
      </w:r>
      <w:r w:rsidR="00244B4D" w:rsidRPr="00695EE0">
        <w:rPr>
          <w:rFonts w:ascii="David" w:hAnsi="David" w:cs="David"/>
          <w:sz w:val="24"/>
          <w:szCs w:val="24"/>
          <w:rtl/>
        </w:rPr>
        <w:t xml:space="preserve">בכתביו של דניאל דפו </w:t>
      </w:r>
      <w:r w:rsidR="00695EE0">
        <w:rPr>
          <w:rFonts w:ascii="David" w:hAnsi="David" w:cs="David" w:hint="cs"/>
          <w:sz w:val="24"/>
          <w:szCs w:val="24"/>
          <w:rtl/>
        </w:rPr>
        <w:t>(</w:t>
      </w:r>
      <w:r w:rsidR="00244B4D" w:rsidRPr="00695EE0">
        <w:rPr>
          <w:rFonts w:ascii="David" w:hAnsi="David" w:cs="David"/>
          <w:sz w:val="24"/>
          <w:szCs w:val="24"/>
          <w:rtl/>
        </w:rPr>
        <w:t>1731-1660</w:t>
      </w:r>
      <w:r w:rsidR="00695EE0">
        <w:rPr>
          <w:rFonts w:ascii="David" w:hAnsi="David" w:cs="David" w:hint="cs"/>
          <w:sz w:val="24"/>
          <w:szCs w:val="24"/>
          <w:rtl/>
        </w:rPr>
        <w:t>)</w:t>
      </w:r>
      <w:r w:rsidR="00244B4D" w:rsidRPr="00695EE0">
        <w:rPr>
          <w:rFonts w:ascii="David" w:hAnsi="David" w:cs="David"/>
          <w:sz w:val="24"/>
          <w:szCs w:val="24"/>
          <w:rtl/>
        </w:rPr>
        <w:t xml:space="preserve">" </w:t>
      </w:r>
      <w:r w:rsidR="00695EE0">
        <w:rPr>
          <w:rFonts w:ascii="David" w:hAnsi="David" w:cs="David" w:hint="cs"/>
          <w:sz w:val="24"/>
          <w:szCs w:val="24"/>
          <w:rtl/>
        </w:rPr>
        <w:t>(</w:t>
      </w:r>
      <w:r w:rsidR="00244B4D" w:rsidRPr="00695EE0">
        <w:rPr>
          <w:rFonts w:ascii="David" w:hAnsi="David" w:cs="David"/>
          <w:sz w:val="24"/>
          <w:szCs w:val="24"/>
          <w:rtl/>
        </w:rPr>
        <w:t>עבודת גמר לתואר שני, אוניברסיטת תל</w:t>
      </w:r>
      <w:r w:rsidR="002B4EA8">
        <w:rPr>
          <w:rFonts w:ascii="David" w:hAnsi="David" w:cs="David" w:hint="cs"/>
          <w:sz w:val="24"/>
          <w:szCs w:val="24"/>
          <w:rtl/>
        </w:rPr>
        <w:t xml:space="preserve"> </w:t>
      </w:r>
      <w:r w:rsidR="00244B4D" w:rsidRPr="00695EE0">
        <w:rPr>
          <w:rFonts w:ascii="David" w:hAnsi="David" w:cs="David"/>
          <w:sz w:val="24"/>
          <w:szCs w:val="24"/>
          <w:rtl/>
        </w:rPr>
        <w:t xml:space="preserve">אביב, </w:t>
      </w:r>
      <w:r w:rsidR="00695EE0">
        <w:rPr>
          <w:rFonts w:ascii="David" w:hAnsi="David" w:cs="David" w:hint="cs"/>
          <w:sz w:val="24"/>
          <w:szCs w:val="24"/>
          <w:rtl/>
        </w:rPr>
        <w:t>2016)</w:t>
      </w:r>
      <w:r w:rsidR="00244B4D" w:rsidRPr="00695EE0">
        <w:rPr>
          <w:rFonts w:ascii="David" w:hAnsi="David" w:cs="David"/>
          <w:sz w:val="24"/>
          <w:szCs w:val="24"/>
          <w:rtl/>
        </w:rPr>
        <w:t>.</w:t>
      </w:r>
    </w:p>
    <w:p w14:paraId="2CF837A7" w14:textId="497BD5E3" w:rsidR="00EE399C" w:rsidRDefault="00EE399C" w:rsidP="00695E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EC94599" w14:textId="519EC265" w:rsidR="00EE399C" w:rsidRPr="00D20112" w:rsidRDefault="00D20112" w:rsidP="00BB50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20112">
        <w:rPr>
          <w:rFonts w:ascii="David" w:hAnsi="David" w:cs="David" w:hint="cs"/>
          <w:b/>
          <w:bCs/>
          <w:sz w:val="28"/>
          <w:szCs w:val="28"/>
          <w:rtl/>
        </w:rPr>
        <w:t>מקפים</w:t>
      </w:r>
    </w:p>
    <w:p w14:paraId="05BEF582" w14:textId="66FA4787" w:rsidR="00D20112" w:rsidRDefault="00D20112" w:rsidP="00BB507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D20112">
        <w:rPr>
          <w:rFonts w:ascii="David" w:hAnsi="David" w:cs="David" w:hint="cs"/>
          <w:sz w:val="24"/>
          <w:szCs w:val="24"/>
          <w:rtl/>
        </w:rPr>
        <w:lastRenderedPageBreak/>
        <w:t xml:space="preserve">יש להשתמש במקף </w:t>
      </w:r>
      <w:r w:rsidRPr="00D20112">
        <w:rPr>
          <w:rFonts w:ascii="David" w:hAnsi="David" w:cs="David"/>
          <w:sz w:val="24"/>
          <w:szCs w:val="24"/>
          <w:rtl/>
        </w:rPr>
        <w:t xml:space="preserve">אחרי תחיליות, כמו למשל: </w:t>
      </w:r>
      <w:proofErr w:type="spellStart"/>
      <w:r w:rsidRPr="00D20112">
        <w:rPr>
          <w:rFonts w:ascii="David" w:hAnsi="David" w:cs="David"/>
          <w:sz w:val="24"/>
          <w:szCs w:val="24"/>
          <w:rtl/>
        </w:rPr>
        <w:t>אי־יציבות</w:t>
      </w:r>
      <w:proofErr w:type="spellEnd"/>
      <w:r w:rsidRPr="00D20112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20112">
        <w:rPr>
          <w:rFonts w:ascii="David" w:hAnsi="David" w:cs="David"/>
          <w:sz w:val="24"/>
          <w:szCs w:val="24"/>
          <w:rtl/>
        </w:rPr>
        <w:t>בין־לאומי</w:t>
      </w:r>
      <w:proofErr w:type="spellEnd"/>
      <w:r w:rsidRPr="00D20112">
        <w:rPr>
          <w:rFonts w:ascii="David" w:hAnsi="David" w:cs="David"/>
          <w:sz w:val="24"/>
          <w:szCs w:val="24"/>
          <w:rtl/>
        </w:rPr>
        <w:t xml:space="preserve">; וכן לפני סופיות, כגון: </w:t>
      </w:r>
      <w:proofErr w:type="spellStart"/>
      <w:r w:rsidRPr="00D20112">
        <w:rPr>
          <w:rFonts w:ascii="David" w:hAnsi="David" w:cs="David"/>
          <w:sz w:val="24"/>
          <w:szCs w:val="24"/>
          <w:rtl/>
        </w:rPr>
        <w:t>מעצמת־על</w:t>
      </w:r>
      <w:proofErr w:type="spellEnd"/>
      <w:r w:rsidR="00B72B5D">
        <w:rPr>
          <w:rFonts w:ascii="David" w:hAnsi="David" w:cs="David" w:hint="cs"/>
          <w:sz w:val="24"/>
          <w:szCs w:val="24"/>
          <w:rtl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72B5D">
        <w:rPr>
          <w:rFonts w:ascii="David" w:hAnsi="David" w:cs="David" w:hint="cs"/>
          <w:sz w:val="24"/>
          <w:szCs w:val="24"/>
          <w:rtl/>
        </w:rPr>
        <w:t xml:space="preserve">עבור </w:t>
      </w:r>
      <w:r>
        <w:rPr>
          <w:rFonts w:ascii="David" w:hAnsi="David" w:cs="David" w:hint="cs"/>
          <w:sz w:val="24"/>
          <w:szCs w:val="24"/>
          <w:rtl/>
        </w:rPr>
        <w:t>חיבור בין אותיות למספרים (למשל: ב</w:t>
      </w:r>
      <w:r w:rsidR="00FF21FC">
        <w:rPr>
          <w:rFonts w:ascii="David" w:hAnsi="David" w:cs="David" w:hint="cs"/>
          <w:sz w:val="24"/>
          <w:szCs w:val="24"/>
          <w:rtl/>
        </w:rPr>
        <w:t>־2001); בין אותיות עבריות ולועזיות (למשל: ה־</w:t>
      </w:r>
      <w:r w:rsidR="00FF21FC">
        <w:rPr>
          <w:rFonts w:ascii="David" w:hAnsi="David" w:cs="David" w:hint="cs"/>
          <w:sz w:val="24"/>
          <w:szCs w:val="24"/>
        </w:rPr>
        <w:t>S</w:t>
      </w:r>
      <w:r w:rsidR="00FF21FC">
        <w:rPr>
          <w:rFonts w:ascii="David" w:hAnsi="David" w:cs="David"/>
          <w:sz w:val="24"/>
          <w:szCs w:val="24"/>
        </w:rPr>
        <w:t>pam</w:t>
      </w:r>
      <w:r w:rsidR="00FF21FC">
        <w:rPr>
          <w:rFonts w:ascii="David" w:hAnsi="David" w:cs="David" w:hint="cs"/>
          <w:sz w:val="24"/>
          <w:szCs w:val="24"/>
          <w:rtl/>
        </w:rPr>
        <w:t xml:space="preserve">); ובעת חיבור בין שמות משפחה (למשל: גלילה </w:t>
      </w:r>
      <w:proofErr w:type="spellStart"/>
      <w:r w:rsidR="00FF21FC">
        <w:rPr>
          <w:rFonts w:ascii="David" w:hAnsi="David" w:cs="David" w:hint="cs"/>
          <w:sz w:val="24"/>
          <w:szCs w:val="24"/>
          <w:rtl/>
        </w:rPr>
        <w:t>רון־פדר־עמית</w:t>
      </w:r>
      <w:proofErr w:type="spellEnd"/>
      <w:r w:rsidR="00FF21FC">
        <w:rPr>
          <w:rFonts w:ascii="David" w:hAnsi="David" w:cs="David" w:hint="cs"/>
          <w:sz w:val="24"/>
          <w:szCs w:val="24"/>
          <w:rtl/>
        </w:rPr>
        <w:t>).</w:t>
      </w:r>
    </w:p>
    <w:p w14:paraId="275BE2D2" w14:textId="537A3253" w:rsidR="00BA1F3D" w:rsidRPr="00BA1F3D" w:rsidRDefault="00FF21FC" w:rsidP="00BB507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sz w:val="24"/>
          <w:szCs w:val="24"/>
          <w:rtl/>
        </w:rPr>
        <w:t>יש להקפיד על שימוש במקף (־) ולא בסימן מינוס (-).</w:t>
      </w:r>
    </w:p>
    <w:p w14:paraId="11E98B13" w14:textId="0A98E764" w:rsidR="00BA1F3D" w:rsidRPr="00BA1F3D" w:rsidRDefault="00BA1F3D" w:rsidP="00BB5070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sz w:val="24"/>
          <w:szCs w:val="24"/>
          <w:rtl/>
        </w:rPr>
        <w:t>קו מפריד (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) ישמש לשם הדגשת הפרדה יתרה בין חלקי המשפט, בעת הצורך, ובעיקר לשם ציון </w:t>
      </w:r>
      <w:r w:rsidRPr="00BA1F3D">
        <w:rPr>
          <w:rFonts w:ascii="David" w:hAnsi="David" w:cs="David"/>
          <w:sz w:val="24"/>
          <w:szCs w:val="24"/>
          <w:rtl/>
        </w:rPr>
        <w:t>טווחי זמן ותאריכים</w:t>
      </w:r>
      <w:r w:rsidRPr="00BA1F3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(למשל: 1936–1939). יש להקפיד לרשום מספרים במלואם, ומימין לשמאל (למשל: ילדים בני 8-6).</w:t>
      </w:r>
    </w:p>
    <w:p w14:paraId="6325B36F" w14:textId="295B1C5D" w:rsidR="00E91A32" w:rsidRPr="00FF21FC" w:rsidRDefault="00E91A32" w:rsidP="00BB5070">
      <w:pPr>
        <w:ind w:left="360" w:firstLine="360"/>
        <w:jc w:val="both"/>
        <w:rPr>
          <w:rFonts w:ascii="David" w:hAnsi="David" w:cs="David"/>
          <w:b/>
          <w:bCs/>
          <w:sz w:val="28"/>
          <w:szCs w:val="28"/>
        </w:rPr>
      </w:pPr>
      <w:r w:rsidRPr="00FF21FC">
        <w:rPr>
          <w:rFonts w:ascii="David" w:hAnsi="David" w:cs="David" w:hint="cs"/>
          <w:b/>
          <w:bCs/>
          <w:sz w:val="28"/>
          <w:szCs w:val="28"/>
          <w:rtl/>
        </w:rPr>
        <w:t>שמות פרטיים</w:t>
      </w:r>
    </w:p>
    <w:p w14:paraId="5F3B073A" w14:textId="03308505" w:rsidR="00EA5FF4" w:rsidRPr="00EA5FF4" w:rsidRDefault="00EA5FF4" w:rsidP="00EA5F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A5FF4">
        <w:rPr>
          <w:rFonts w:ascii="David" w:hAnsi="David" w:cs="David"/>
          <w:sz w:val="24"/>
          <w:szCs w:val="24"/>
          <w:rtl/>
        </w:rPr>
        <w:t>שמות אישי</w:t>
      </w:r>
      <w:r>
        <w:rPr>
          <w:rFonts w:ascii="David" w:hAnsi="David" w:cs="David" w:hint="cs"/>
          <w:sz w:val="24"/>
          <w:szCs w:val="24"/>
          <w:rtl/>
        </w:rPr>
        <w:t>ם,</w:t>
      </w:r>
      <w:r w:rsidRPr="00EA5FF4">
        <w:rPr>
          <w:rFonts w:ascii="David" w:hAnsi="David" w:cs="David"/>
          <w:sz w:val="24"/>
          <w:szCs w:val="24"/>
          <w:rtl/>
        </w:rPr>
        <w:t xml:space="preserve"> הוגות וחוקרים ייכתבו במלואם באזכור הראשון בטקסט: ישעיהו ליבוביץ; פיודור מ' דוסטויבסקי; חנה ארנדט. באזכורים הבאים ייכתב שם המשפחה בלבד . </w:t>
      </w:r>
    </w:p>
    <w:p w14:paraId="3B692A9F" w14:textId="1FDF9216" w:rsidR="00EA5FF4" w:rsidRPr="00EA5FF4" w:rsidRDefault="00EA5FF4" w:rsidP="00EA5F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EA5FF4">
        <w:rPr>
          <w:rFonts w:ascii="David" w:hAnsi="David" w:cs="David"/>
          <w:sz w:val="24"/>
          <w:szCs w:val="24"/>
          <w:rtl/>
        </w:rPr>
        <w:t xml:space="preserve">שם לועזי שקשה לשחזר את צורתו על פי התעתיק העברי יובא בסוגריים בלועזית בפעם הראשונה שהוא נזכר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A5FF4">
        <w:rPr>
          <w:rFonts w:ascii="David" w:hAnsi="David" w:cs="David"/>
          <w:sz w:val="24"/>
          <w:szCs w:val="24"/>
          <w:rtl/>
        </w:rPr>
        <w:t>בסוגריים ייכתב שם המשפחה בלבד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A5FF4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EA5FF4">
        <w:rPr>
          <w:rFonts w:ascii="David" w:hAnsi="David" w:cs="David"/>
          <w:sz w:val="24"/>
          <w:szCs w:val="24"/>
          <w:rtl/>
        </w:rPr>
        <w:t>ז'וזף</w:t>
      </w:r>
      <w:proofErr w:type="spellEnd"/>
      <w:r w:rsidRPr="00EA5FF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EA5FF4">
        <w:rPr>
          <w:rFonts w:ascii="David" w:hAnsi="David" w:cs="David"/>
          <w:sz w:val="24"/>
          <w:szCs w:val="24"/>
          <w:rtl/>
        </w:rPr>
        <w:t>שאיי</w:t>
      </w:r>
      <w:r w:rsidR="004F080E">
        <w:rPr>
          <w:rFonts w:ascii="David" w:hAnsi="David" w:cs="David" w:hint="cs"/>
          <w:sz w:val="24"/>
          <w:szCs w:val="24"/>
          <w:rtl/>
        </w:rPr>
        <w:t>־</w:t>
      </w:r>
      <w:r w:rsidRPr="00EA5FF4">
        <w:rPr>
          <w:rFonts w:ascii="David" w:hAnsi="David" w:cs="David"/>
          <w:sz w:val="24"/>
          <w:szCs w:val="24"/>
          <w:rtl/>
        </w:rPr>
        <w:t>בר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Pr="00EA5FF4">
        <w:rPr>
          <w:rFonts w:ascii="David" w:hAnsi="David" w:cs="David"/>
          <w:sz w:val="24"/>
          <w:szCs w:val="24"/>
        </w:rPr>
        <w:t>Chailley</w:t>
      </w:r>
      <w:proofErr w:type="spellEnd"/>
      <w:r>
        <w:rPr>
          <w:rFonts w:ascii="David" w:hAnsi="David" w:cs="David"/>
          <w:sz w:val="24"/>
          <w:szCs w:val="24"/>
        </w:rPr>
        <w:t>-</w:t>
      </w:r>
      <w:r w:rsidRPr="00EA5FF4">
        <w:rPr>
          <w:rFonts w:ascii="David" w:hAnsi="David" w:cs="David"/>
          <w:sz w:val="24"/>
          <w:szCs w:val="24"/>
        </w:rPr>
        <w:t>Bert</w:t>
      </w:r>
      <w:r>
        <w:rPr>
          <w:rFonts w:ascii="David" w:hAnsi="David" w:cs="David" w:hint="cs"/>
          <w:sz w:val="24"/>
          <w:szCs w:val="24"/>
          <w:rtl/>
        </w:rPr>
        <w:t xml:space="preserve">). </w:t>
      </w:r>
    </w:p>
    <w:p w14:paraId="4C94EB1B" w14:textId="549C2E44" w:rsidR="00EA5FF4" w:rsidRPr="00EA5FF4" w:rsidRDefault="00EA5FF4" w:rsidP="00EA5FF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A5FF4">
        <w:rPr>
          <w:rFonts w:ascii="David" w:hAnsi="David" w:cs="David"/>
          <w:sz w:val="24"/>
          <w:szCs w:val="24"/>
          <w:rtl/>
        </w:rPr>
        <w:t xml:space="preserve">ראשי תיבות של שמות רבנים: בפעם הראשונה שנזכר השם יש להביאו במלואו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A5FF4">
        <w:rPr>
          <w:rFonts w:ascii="David" w:hAnsi="David" w:cs="David"/>
          <w:sz w:val="24"/>
          <w:szCs w:val="24"/>
          <w:rtl/>
        </w:rPr>
        <w:t>למעט שמות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EA5FF4">
        <w:rPr>
          <w:rFonts w:ascii="David" w:hAnsi="David" w:cs="David"/>
          <w:sz w:val="24"/>
          <w:szCs w:val="24"/>
          <w:rtl/>
        </w:rPr>
        <w:t>מקובלים מאוד</w:t>
      </w:r>
      <w:r>
        <w:rPr>
          <w:rFonts w:ascii="David" w:hAnsi="David" w:cs="David" w:hint="cs"/>
          <w:sz w:val="24"/>
          <w:szCs w:val="24"/>
          <w:rtl/>
        </w:rPr>
        <w:t>), ולידו ייכתבו ראשי התיבות המקובלים.</w:t>
      </w:r>
      <w:r w:rsidRPr="00EA5FF4">
        <w:rPr>
          <w:rFonts w:ascii="David" w:hAnsi="David" w:cs="David"/>
          <w:sz w:val="24"/>
          <w:szCs w:val="24"/>
          <w:rtl/>
        </w:rPr>
        <w:t xml:space="preserve"> באזכורים הבאים אפשר להסתפק בראשי התיבות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EA5FF4">
        <w:rPr>
          <w:rFonts w:ascii="David" w:hAnsi="David" w:cs="David"/>
          <w:sz w:val="24"/>
          <w:szCs w:val="24"/>
          <w:rtl/>
        </w:rPr>
        <w:t xml:space="preserve"> למשל: הרמב"ם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A5FF4">
        <w:rPr>
          <w:rFonts w:ascii="David" w:hAnsi="David" w:cs="David"/>
          <w:sz w:val="24"/>
          <w:szCs w:val="24"/>
          <w:rtl/>
        </w:rPr>
        <w:t xml:space="preserve"> רש"י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A5FF4">
        <w:rPr>
          <w:rFonts w:ascii="David" w:hAnsi="David" w:cs="David"/>
          <w:sz w:val="24"/>
          <w:szCs w:val="24"/>
          <w:rtl/>
        </w:rPr>
        <w:t xml:space="preserve"> ר' משה קורדוברו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A5FF4">
        <w:rPr>
          <w:rFonts w:ascii="David" w:hAnsi="David" w:cs="David"/>
          <w:sz w:val="24"/>
          <w:szCs w:val="24"/>
          <w:rtl/>
        </w:rPr>
        <w:t>רמ"ק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A5FF4">
        <w:rPr>
          <w:rFonts w:ascii="David" w:hAnsi="David" w:cs="David"/>
          <w:sz w:val="24"/>
          <w:szCs w:val="24"/>
          <w:rtl/>
        </w:rPr>
        <w:t xml:space="preserve">; ר' נחמן קרוכמל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A5FF4">
        <w:rPr>
          <w:rFonts w:ascii="David" w:hAnsi="David" w:cs="David"/>
          <w:sz w:val="24"/>
          <w:szCs w:val="24"/>
          <w:rtl/>
        </w:rPr>
        <w:t>רנ"ק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A5FF4">
        <w:rPr>
          <w:rFonts w:ascii="David" w:hAnsi="David" w:cs="David"/>
          <w:sz w:val="24"/>
          <w:szCs w:val="24"/>
          <w:rtl/>
        </w:rPr>
        <w:t xml:space="preserve">; ר' שמעון בן גמליאל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EA5FF4">
        <w:rPr>
          <w:rFonts w:ascii="David" w:hAnsi="David" w:cs="David"/>
          <w:sz w:val="24"/>
          <w:szCs w:val="24"/>
          <w:rtl/>
        </w:rPr>
        <w:t>רשב"ג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EA5FF4">
        <w:rPr>
          <w:rFonts w:ascii="David" w:hAnsi="David" w:cs="David"/>
          <w:sz w:val="24"/>
          <w:szCs w:val="24"/>
          <w:rtl/>
        </w:rPr>
        <w:t xml:space="preserve">. </w:t>
      </w:r>
    </w:p>
    <w:p w14:paraId="58A2EA3E" w14:textId="77777777" w:rsidR="00EE399C" w:rsidRDefault="00EE399C" w:rsidP="00E80A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7BE4661" w14:textId="63E4B93B" w:rsidR="00E91A32" w:rsidRPr="00EE399C" w:rsidRDefault="00EA5FF4" w:rsidP="00E80A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David" w:hAnsi="David" w:cs="David"/>
          <w:b/>
          <w:bCs/>
          <w:sz w:val="28"/>
          <w:szCs w:val="28"/>
        </w:rPr>
      </w:pPr>
      <w:r w:rsidRPr="00EE399C">
        <w:rPr>
          <w:rFonts w:ascii="David" w:hAnsi="David" w:cs="David" w:hint="cs"/>
          <w:b/>
          <w:bCs/>
          <w:sz w:val="28"/>
          <w:szCs w:val="28"/>
          <w:rtl/>
        </w:rPr>
        <w:t>מובאות</w:t>
      </w:r>
    </w:p>
    <w:p w14:paraId="08BB32E3" w14:textId="6BEEF192" w:rsidR="0010647D" w:rsidRPr="0010647D" w:rsidRDefault="0010647D" w:rsidP="001064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0647D">
        <w:rPr>
          <w:rFonts w:ascii="David" w:hAnsi="David" w:cs="David"/>
          <w:sz w:val="24"/>
          <w:szCs w:val="24"/>
          <w:rtl/>
        </w:rPr>
        <w:t>המובאות צריכות להיות זהות לחלוטין למקור. כל הסבר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10647D">
        <w:rPr>
          <w:rFonts w:ascii="David" w:hAnsi="David" w:cs="David"/>
          <w:sz w:val="24"/>
          <w:szCs w:val="24"/>
          <w:rtl/>
        </w:rPr>
        <w:t xml:space="preserve"> השלמה או תוספת יבואו בסוגריים מרובעים: "עצם קיומו </w:t>
      </w:r>
      <w:r>
        <w:rPr>
          <w:rFonts w:ascii="David" w:hAnsi="David" w:cs="David" w:hint="cs"/>
          <w:sz w:val="24"/>
          <w:szCs w:val="24"/>
          <w:rtl/>
        </w:rPr>
        <w:t>[</w:t>
      </w:r>
      <w:r w:rsidRPr="0010647D">
        <w:rPr>
          <w:rFonts w:ascii="David" w:hAnsi="David" w:cs="David"/>
          <w:sz w:val="24"/>
          <w:szCs w:val="24"/>
          <w:rtl/>
        </w:rPr>
        <w:t>של עם ישראל</w:t>
      </w:r>
      <w:r>
        <w:rPr>
          <w:rFonts w:ascii="David" w:hAnsi="David" w:cs="David" w:hint="cs"/>
          <w:sz w:val="24"/>
          <w:szCs w:val="24"/>
          <w:rtl/>
        </w:rPr>
        <w:t>]</w:t>
      </w:r>
      <w:r w:rsidRPr="0010647D">
        <w:rPr>
          <w:rFonts w:ascii="David" w:hAnsi="David" w:cs="David"/>
          <w:sz w:val="24"/>
          <w:szCs w:val="24"/>
          <w:rtl/>
        </w:rPr>
        <w:t xml:space="preserve"> מעיד על כך"</w:t>
      </w:r>
      <w:r w:rsidR="007F1182">
        <w:rPr>
          <w:rFonts w:ascii="David" w:hAnsi="David" w:cs="David" w:hint="cs"/>
          <w:sz w:val="24"/>
          <w:szCs w:val="24"/>
          <w:rtl/>
        </w:rPr>
        <w:t>.</w:t>
      </w:r>
      <w:r w:rsidRPr="0010647D">
        <w:rPr>
          <w:rFonts w:ascii="David" w:hAnsi="David" w:cs="David"/>
          <w:sz w:val="24"/>
          <w:szCs w:val="24"/>
          <w:rtl/>
        </w:rPr>
        <w:t xml:space="preserve"> </w:t>
      </w:r>
    </w:p>
    <w:p w14:paraId="109BF367" w14:textId="7BF09FDD" w:rsidR="0010647D" w:rsidRPr="0010647D" w:rsidRDefault="0010647D" w:rsidP="001064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0647D">
        <w:rPr>
          <w:rFonts w:ascii="David" w:hAnsi="David" w:cs="David"/>
          <w:sz w:val="24"/>
          <w:szCs w:val="24"/>
          <w:rtl/>
        </w:rPr>
        <w:t xml:space="preserve">מובאות ברצף הטקסט יובאו במירכאות כפולות. מובאות ארוכות מארבע שורות יובאו בקטע מוזח </w:t>
      </w:r>
      <w:r w:rsidR="00F636A7">
        <w:rPr>
          <w:rFonts w:ascii="David" w:hAnsi="David" w:cs="David" w:hint="cs"/>
          <w:sz w:val="24"/>
          <w:szCs w:val="24"/>
          <w:rtl/>
        </w:rPr>
        <w:t>משני הצדדים</w:t>
      </w:r>
      <w:r w:rsidR="00412522">
        <w:rPr>
          <w:rFonts w:ascii="David" w:hAnsi="David" w:cs="David" w:hint="cs"/>
          <w:sz w:val="24"/>
          <w:szCs w:val="24"/>
          <w:rtl/>
        </w:rPr>
        <w:t>,</w:t>
      </w:r>
      <w:r w:rsidRPr="0010647D">
        <w:rPr>
          <w:rFonts w:ascii="David" w:hAnsi="David" w:cs="David"/>
          <w:sz w:val="24"/>
          <w:szCs w:val="24"/>
          <w:rtl/>
        </w:rPr>
        <w:t xml:space="preserve"> בלי מירכאות. אחריהן יבוא רווח כפול.  </w:t>
      </w:r>
    </w:p>
    <w:p w14:paraId="49D56E17" w14:textId="30B013D2" w:rsidR="0010647D" w:rsidRPr="00F73677" w:rsidRDefault="0010647D" w:rsidP="001064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73677">
        <w:rPr>
          <w:rFonts w:ascii="David" w:hAnsi="David" w:cs="David"/>
          <w:sz w:val="24"/>
          <w:szCs w:val="24"/>
          <w:rtl/>
        </w:rPr>
        <w:t>אין לשלב קטעים לועזיים ברצף הטקסט. מובאות לועזיות יש להביא בתרגום לעברית</w:t>
      </w:r>
      <w:r w:rsidR="009328C8" w:rsidRPr="00F73677">
        <w:rPr>
          <w:rFonts w:ascii="David" w:hAnsi="David" w:cs="David" w:hint="cs"/>
          <w:sz w:val="24"/>
          <w:szCs w:val="24"/>
          <w:rtl/>
        </w:rPr>
        <w:t>,</w:t>
      </w:r>
      <w:r w:rsidRPr="00F73677">
        <w:rPr>
          <w:rFonts w:ascii="David" w:hAnsi="David" w:cs="David"/>
          <w:sz w:val="24"/>
          <w:szCs w:val="24"/>
          <w:rtl/>
        </w:rPr>
        <w:t xml:space="preserve"> ולהפנות למקור הלועזי </w:t>
      </w:r>
      <w:r w:rsidR="009328C8" w:rsidRPr="00F73677">
        <w:rPr>
          <w:rFonts w:ascii="David" w:hAnsi="David" w:cs="David" w:hint="cs"/>
          <w:sz w:val="24"/>
          <w:szCs w:val="24"/>
          <w:rtl/>
        </w:rPr>
        <w:t>(</w:t>
      </w:r>
      <w:r w:rsidRPr="00F73677">
        <w:rPr>
          <w:rFonts w:ascii="David" w:hAnsi="David" w:cs="David"/>
          <w:sz w:val="24"/>
          <w:szCs w:val="24"/>
          <w:rtl/>
        </w:rPr>
        <w:t>אין צורך לצטט את המקור הלועזי של קטע שתורגם</w:t>
      </w:r>
      <w:r w:rsidR="009328C8" w:rsidRPr="00F73677">
        <w:rPr>
          <w:rFonts w:ascii="David" w:hAnsi="David" w:cs="David" w:hint="cs"/>
          <w:sz w:val="24"/>
          <w:szCs w:val="24"/>
          <w:rtl/>
        </w:rPr>
        <w:t>)</w:t>
      </w:r>
      <w:r w:rsidRPr="00F73677">
        <w:rPr>
          <w:rFonts w:ascii="David" w:hAnsi="David" w:cs="David"/>
          <w:sz w:val="24"/>
          <w:szCs w:val="24"/>
          <w:rtl/>
        </w:rPr>
        <w:t xml:space="preserve">. אם החיבור פורסם בעברית, יש לצטט מהפרסום העברי ולהפנות אליו.  </w:t>
      </w:r>
    </w:p>
    <w:p w14:paraId="1BED40A0" w14:textId="6ED03641" w:rsidR="0010647D" w:rsidRPr="0010647D" w:rsidRDefault="0010647D" w:rsidP="001064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10647D">
        <w:rPr>
          <w:rFonts w:ascii="David" w:hAnsi="David" w:cs="David"/>
          <w:sz w:val="24"/>
          <w:szCs w:val="24"/>
          <w:rtl/>
        </w:rPr>
        <w:t>פסיחה במובאה תצוין בעזרת שלוש נקודות בתוך סוגריים מרובעים</w:t>
      </w:r>
      <w:r w:rsidR="00A27B12">
        <w:rPr>
          <w:rFonts w:ascii="David" w:hAnsi="David" w:cs="David" w:hint="cs"/>
          <w:sz w:val="24"/>
          <w:szCs w:val="24"/>
          <w:rtl/>
        </w:rPr>
        <w:t xml:space="preserve">, </w:t>
      </w:r>
      <w:r w:rsidRPr="0010647D">
        <w:rPr>
          <w:rFonts w:ascii="David" w:hAnsi="David" w:cs="David"/>
          <w:sz w:val="24"/>
          <w:szCs w:val="24"/>
          <w:rtl/>
        </w:rPr>
        <w:t xml:space="preserve">עם רווח לפניהם ואחריהם: "השבעתי אתכם בנות ירושלם </w:t>
      </w:r>
      <w:r w:rsidR="00A27B12">
        <w:rPr>
          <w:rFonts w:ascii="David" w:hAnsi="David" w:cs="David" w:hint="cs"/>
          <w:sz w:val="24"/>
          <w:szCs w:val="24"/>
          <w:rtl/>
        </w:rPr>
        <w:t>[</w:t>
      </w:r>
      <w:r w:rsidRPr="0010647D">
        <w:rPr>
          <w:rFonts w:ascii="David" w:hAnsi="David" w:cs="David"/>
          <w:sz w:val="24"/>
          <w:szCs w:val="24"/>
          <w:rtl/>
        </w:rPr>
        <w:t>..</w:t>
      </w:r>
      <w:r w:rsidR="00A27B12">
        <w:rPr>
          <w:rFonts w:ascii="David" w:hAnsi="David" w:cs="David" w:hint="cs"/>
          <w:sz w:val="24"/>
          <w:szCs w:val="24"/>
          <w:rtl/>
        </w:rPr>
        <w:t>.]</w:t>
      </w:r>
      <w:r w:rsidRPr="0010647D">
        <w:rPr>
          <w:rFonts w:ascii="David" w:hAnsi="David" w:cs="David"/>
          <w:sz w:val="24"/>
          <w:szCs w:val="24"/>
          <w:rtl/>
        </w:rPr>
        <w:t xml:space="preserve"> אם תעירו ואם תעוררו את האהבה עד שתחפץ".  </w:t>
      </w:r>
    </w:p>
    <w:p w14:paraId="4E2293CE" w14:textId="48B67117" w:rsidR="007F6968" w:rsidRDefault="0010647D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10647D">
        <w:rPr>
          <w:rFonts w:ascii="David" w:hAnsi="David" w:cs="David"/>
          <w:sz w:val="24"/>
          <w:szCs w:val="24"/>
          <w:rtl/>
        </w:rPr>
        <w:t xml:space="preserve">מראה המקום למובאה יובא בהערת שוליים. </w:t>
      </w:r>
    </w:p>
    <w:p w14:paraId="1A1D4D5C" w14:textId="531B0EC9" w:rsidR="007F1182" w:rsidRPr="007F6968" w:rsidRDefault="007F1182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סימן הפיסוק האחרון במובאה (נקודה, פסיק וכו') יכתב מחוץ לגרשיים. </w:t>
      </w:r>
    </w:p>
    <w:p w14:paraId="328AF40B" w14:textId="77777777" w:rsidR="00EE399C" w:rsidRDefault="00EE399C" w:rsidP="007F696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F451D6F" w14:textId="7D01363E" w:rsidR="007F6968" w:rsidRPr="00BB5070" w:rsidRDefault="007F6968" w:rsidP="00BB507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B5070">
        <w:rPr>
          <w:rFonts w:ascii="David" w:hAnsi="David" w:cs="David" w:hint="cs"/>
          <w:b/>
          <w:bCs/>
          <w:sz w:val="28"/>
          <w:szCs w:val="28"/>
          <w:rtl/>
        </w:rPr>
        <w:t>מובאות מן המקורות היהודיים</w:t>
      </w:r>
    </w:p>
    <w:p w14:paraId="1FB9AEDC" w14:textId="77777777" w:rsidR="007F6968" w:rsidRPr="00EE399C" w:rsidRDefault="007F6968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E399C">
        <w:rPr>
          <w:rFonts w:ascii="David" w:hAnsi="David" w:cs="David"/>
          <w:b/>
          <w:bCs/>
          <w:sz w:val="24"/>
          <w:szCs w:val="24"/>
          <w:rtl/>
        </w:rPr>
        <w:t>מקרא</w:t>
      </w:r>
    </w:p>
    <w:p w14:paraId="3175F28F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>[ספר] [פרק] [מספר פסוק] (ללא גרשיים ופסיקים)</w:t>
      </w:r>
    </w:p>
    <w:p w14:paraId="14E71A1D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לדוגמה: </w:t>
      </w:r>
    </w:p>
    <w:p w14:paraId="00E18CED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בראשית א 19. </w:t>
      </w:r>
    </w:p>
    <w:p w14:paraId="1A3A61A7" w14:textId="56B4491C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F6968">
        <w:rPr>
          <w:rFonts w:ascii="David" w:hAnsi="David" w:cs="David"/>
          <w:sz w:val="24"/>
          <w:szCs w:val="24"/>
          <w:rtl/>
        </w:rPr>
        <w:lastRenderedPageBreak/>
        <w:t>בראשית א 19, 22; ח 2–4.</w:t>
      </w:r>
    </w:p>
    <w:p w14:paraId="10A21A2A" w14:textId="26B68BBC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במובאה של כמה פסוקים רצופים – הפסוקים יופרדו זה מזה באמצעות נקודה (מספור הפסוקים – על רצף הטקסט שקדם להבאתם או בסיום, בסוגריים). </w:t>
      </w:r>
    </w:p>
    <w:p w14:paraId="35D2711C" w14:textId="77777777" w:rsidR="007F6968" w:rsidRPr="00EE399C" w:rsidRDefault="007F6968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E399C">
        <w:rPr>
          <w:rFonts w:ascii="David" w:hAnsi="David" w:cs="David"/>
          <w:b/>
          <w:bCs/>
          <w:sz w:val="24"/>
          <w:szCs w:val="24"/>
          <w:rtl/>
        </w:rPr>
        <w:t xml:space="preserve">משנה </w:t>
      </w:r>
    </w:p>
    <w:p w14:paraId="654A0D52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משנה, [שם המסכת] [פרק], [משנה] </w:t>
      </w:r>
    </w:p>
    <w:p w14:paraId="64EDEDEF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לדוגמה: </w:t>
      </w:r>
    </w:p>
    <w:p w14:paraId="16CDE04A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משנה, אבות א, א. </w:t>
      </w:r>
    </w:p>
    <w:p w14:paraId="01BFB196" w14:textId="77777777" w:rsidR="007F6968" w:rsidRPr="00EE399C" w:rsidRDefault="007F6968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E399C">
        <w:rPr>
          <w:rFonts w:ascii="David" w:hAnsi="David" w:cs="David"/>
          <w:b/>
          <w:bCs/>
          <w:sz w:val="24"/>
          <w:szCs w:val="24"/>
          <w:rtl/>
        </w:rPr>
        <w:t>תלמוד בבלי</w:t>
      </w:r>
    </w:p>
    <w:p w14:paraId="320C8B74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בבלי, [מסכת] [דף] [עמוד] </w:t>
      </w:r>
    </w:p>
    <w:p w14:paraId="264EB151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לדוגמה: בבלי, קידושין ג ע"ב. </w:t>
      </w:r>
    </w:p>
    <w:p w14:paraId="63ECC759" w14:textId="77777777" w:rsidR="007F6968" w:rsidRPr="00EE399C" w:rsidRDefault="007F6968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E399C">
        <w:rPr>
          <w:rFonts w:ascii="David" w:hAnsi="David" w:cs="David"/>
          <w:b/>
          <w:bCs/>
          <w:sz w:val="24"/>
          <w:szCs w:val="24"/>
          <w:rtl/>
        </w:rPr>
        <w:t>תלמוד ירושלמי</w:t>
      </w:r>
    </w:p>
    <w:p w14:paraId="0DA88CC8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ירושלמי, [מסכת] [פרק], [הלכה] (דף ועמוד בדפוס קרוטושין) </w:t>
      </w:r>
    </w:p>
    <w:p w14:paraId="162D9A44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לדוגמה: ירושלמי, יבמות ד, א (ה ע"ב–ע"ג). </w:t>
      </w:r>
    </w:p>
    <w:p w14:paraId="5703A31C" w14:textId="77777777" w:rsidR="007F6968" w:rsidRPr="00EE399C" w:rsidRDefault="007F6968" w:rsidP="007F69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E399C">
        <w:rPr>
          <w:rFonts w:ascii="David" w:hAnsi="David" w:cs="David"/>
          <w:b/>
          <w:bCs/>
          <w:sz w:val="24"/>
          <w:szCs w:val="24"/>
          <w:rtl/>
        </w:rPr>
        <w:t>חיבורים אחרים</w:t>
      </w:r>
    </w:p>
    <w:p w14:paraId="41954569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>רישום במתכונת כפולה: קודם על פי החלוקה הפנימית המסורתית של החיבור ([ספר], [פרק], [פרשה], [סימן], [שורה] וכו'), ולאחר מכן בסוגריים עגולים מראה המקום בתרגום או במהדורה.</w:t>
      </w:r>
    </w:p>
    <w:p w14:paraId="169497A0" w14:textId="77777777" w:rsidR="007F6968" w:rsidRPr="007F6968" w:rsidRDefault="007F6968" w:rsidP="007F69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F6968">
        <w:rPr>
          <w:rFonts w:ascii="David" w:hAnsi="David" w:cs="David"/>
          <w:sz w:val="24"/>
          <w:szCs w:val="24"/>
          <w:rtl/>
        </w:rPr>
        <w:t xml:space="preserve">לדוגמה: תוספתא, ראש השנה כ, א (מהדורת ליברמן, עמ' 311). </w:t>
      </w:r>
    </w:p>
    <w:p w14:paraId="5D659DBF" w14:textId="77777777" w:rsidR="007F6968" w:rsidRDefault="007F6968" w:rsidP="007F696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7891C7A" w14:textId="77777777" w:rsidR="007F6968" w:rsidRPr="0010647D" w:rsidRDefault="007F6968" w:rsidP="007F696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1F6192A" w14:textId="77777777" w:rsidR="00EA5FF4" w:rsidRPr="00EA5FF4" w:rsidRDefault="00EA5FF4" w:rsidP="00A27B12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26F8F3B7" w14:textId="59C2AE8F" w:rsidR="004B6658" w:rsidRPr="00BB5070" w:rsidRDefault="007F6968" w:rsidP="00BB5070">
      <w:pPr>
        <w:spacing w:line="360" w:lineRule="auto"/>
        <w:ind w:firstLine="360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B5070">
        <w:rPr>
          <w:rFonts w:ascii="David" w:hAnsi="David" w:cs="David" w:hint="cs"/>
          <w:b/>
          <w:bCs/>
          <w:sz w:val="28"/>
          <w:szCs w:val="28"/>
          <w:rtl/>
        </w:rPr>
        <w:t>הפניות לדוגמא:</w:t>
      </w:r>
    </w:p>
    <w:p w14:paraId="07F3BCC1" w14:textId="210145E1" w:rsidR="006C3A72" w:rsidRDefault="006C3A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ספר:</w:t>
      </w:r>
    </w:p>
    <w:p w14:paraId="05BA981C" w14:textId="37E3B6D3" w:rsidR="00A209A6" w:rsidRDefault="00A209A6" w:rsidP="00E91A32">
      <w:pPr>
        <w:pStyle w:val="a3"/>
        <w:numPr>
          <w:ilvl w:val="0"/>
          <w:numId w:val="6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  <w:rtl/>
        </w:rPr>
      </w:pPr>
      <w:r w:rsidRPr="00A209A6">
        <w:rPr>
          <w:rFonts w:ascii="David" w:hAnsi="David" w:cs="David"/>
          <w:sz w:val="24"/>
          <w:szCs w:val="24"/>
          <w:rtl/>
        </w:rPr>
        <w:t xml:space="preserve">אלה שוחט, </w:t>
      </w:r>
      <w:r w:rsidRPr="00A209A6">
        <w:rPr>
          <w:rFonts w:ascii="David" w:hAnsi="David" w:cs="David"/>
          <w:b/>
          <w:bCs/>
          <w:sz w:val="24"/>
          <w:szCs w:val="24"/>
          <w:rtl/>
        </w:rPr>
        <w:t>הקולנוע הישראלי: מזרח/מערב והפוליטיקה של הייצוג</w:t>
      </w:r>
      <w:r w:rsidR="00D20BF0">
        <w:rPr>
          <w:rFonts w:ascii="David" w:hAnsi="David" w:cs="David"/>
          <w:sz w:val="24"/>
          <w:szCs w:val="24"/>
          <w:rtl/>
        </w:rPr>
        <w:t xml:space="preserve"> </w:t>
      </w:r>
      <w:r w:rsidR="00D20BF0">
        <w:rPr>
          <w:rFonts w:ascii="David" w:hAnsi="David" w:cs="David" w:hint="cs"/>
          <w:sz w:val="24"/>
          <w:szCs w:val="24"/>
          <w:rtl/>
        </w:rPr>
        <w:t>(</w:t>
      </w:r>
      <w:r w:rsidRPr="00A209A6">
        <w:rPr>
          <w:rFonts w:ascii="David" w:hAnsi="David" w:cs="David"/>
          <w:sz w:val="24"/>
          <w:szCs w:val="24"/>
          <w:rtl/>
        </w:rPr>
        <w:t>רעננה: האוניברסיטה הפתוחה,</w:t>
      </w:r>
      <w:r w:rsidR="00D20BF0">
        <w:rPr>
          <w:rFonts w:ascii="David" w:hAnsi="David" w:cs="David" w:hint="cs"/>
          <w:sz w:val="24"/>
          <w:szCs w:val="24"/>
          <w:rtl/>
        </w:rPr>
        <w:t xml:space="preserve"> </w:t>
      </w:r>
      <w:r w:rsidR="006C3A72">
        <w:rPr>
          <w:rFonts w:ascii="David" w:hAnsi="David" w:cs="David" w:hint="cs"/>
          <w:sz w:val="24"/>
          <w:szCs w:val="24"/>
          <w:rtl/>
        </w:rPr>
        <w:t xml:space="preserve">2005), 22–24. </w:t>
      </w:r>
    </w:p>
    <w:p w14:paraId="55D5406A" w14:textId="40C9AF8F" w:rsidR="006C3A72" w:rsidRDefault="006C3A72" w:rsidP="00E91A32">
      <w:pPr>
        <w:pStyle w:val="a3"/>
        <w:numPr>
          <w:ilvl w:val="0"/>
          <w:numId w:val="6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שוחט, </w:t>
      </w:r>
      <w:r w:rsidRPr="006C3A72">
        <w:rPr>
          <w:rFonts w:ascii="David" w:hAnsi="David" w:cs="David" w:hint="cs"/>
          <w:b/>
          <w:bCs/>
          <w:sz w:val="24"/>
          <w:szCs w:val="24"/>
          <w:rtl/>
        </w:rPr>
        <w:t>הקולנוע הישראלי</w:t>
      </w:r>
      <w:r>
        <w:rPr>
          <w:rFonts w:ascii="David" w:hAnsi="David" w:cs="David" w:hint="cs"/>
          <w:sz w:val="24"/>
          <w:szCs w:val="24"/>
          <w:rtl/>
        </w:rPr>
        <w:t xml:space="preserve">, 23. </w:t>
      </w:r>
    </w:p>
    <w:p w14:paraId="1460E2CF" w14:textId="3A582A5A" w:rsidR="006C3A72" w:rsidRPr="006C3A72" w:rsidRDefault="006C3A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ספר מתורגם:</w:t>
      </w:r>
    </w:p>
    <w:p w14:paraId="6161FF01" w14:textId="64681DA3" w:rsidR="00E751E1" w:rsidRDefault="00E751E1" w:rsidP="00E91A32">
      <w:pPr>
        <w:pStyle w:val="a3"/>
        <w:numPr>
          <w:ilvl w:val="0"/>
          <w:numId w:val="7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 w:rsidRPr="00E751E1">
        <w:rPr>
          <w:rFonts w:ascii="David" w:hAnsi="David" w:cs="David"/>
          <w:sz w:val="24"/>
          <w:szCs w:val="24"/>
          <w:rtl/>
        </w:rPr>
        <w:t xml:space="preserve">תומס מור, </w:t>
      </w:r>
      <w:r w:rsidRPr="00E751E1">
        <w:rPr>
          <w:rFonts w:ascii="David" w:hAnsi="David" w:cs="David"/>
          <w:b/>
          <w:bCs/>
          <w:sz w:val="24"/>
          <w:szCs w:val="24"/>
          <w:rtl/>
        </w:rPr>
        <w:t>אוטופיה</w:t>
      </w:r>
      <w:r w:rsidR="007E00F2">
        <w:rPr>
          <w:rFonts w:ascii="David" w:hAnsi="David" w:cs="David"/>
          <w:sz w:val="24"/>
          <w:szCs w:val="24"/>
          <w:rtl/>
        </w:rPr>
        <w:t>, תרגום: אילת אבן</w:t>
      </w:r>
      <w:r w:rsidR="007E00F2">
        <w:rPr>
          <w:rFonts w:ascii="David" w:hAnsi="David" w:cs="David" w:hint="cs"/>
          <w:sz w:val="24"/>
          <w:szCs w:val="24"/>
          <w:rtl/>
        </w:rPr>
        <w:t>־</w:t>
      </w:r>
      <w:r>
        <w:rPr>
          <w:rFonts w:ascii="David" w:hAnsi="David" w:cs="David"/>
          <w:sz w:val="24"/>
          <w:szCs w:val="24"/>
          <w:rtl/>
        </w:rPr>
        <w:t>עזרא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E751E1">
        <w:rPr>
          <w:rFonts w:ascii="David" w:hAnsi="David" w:cs="David"/>
          <w:sz w:val="24"/>
          <w:szCs w:val="24"/>
          <w:rtl/>
        </w:rPr>
        <w:t xml:space="preserve">תל אביב: רסלינג, </w:t>
      </w:r>
      <w:r>
        <w:rPr>
          <w:rFonts w:ascii="David" w:hAnsi="David" w:cs="David" w:hint="cs"/>
          <w:sz w:val="24"/>
          <w:szCs w:val="24"/>
          <w:rtl/>
        </w:rPr>
        <w:t>2008)</w:t>
      </w:r>
      <w:r w:rsidRPr="00E751E1">
        <w:rPr>
          <w:rFonts w:ascii="David" w:hAnsi="David" w:cs="David"/>
          <w:sz w:val="24"/>
          <w:szCs w:val="24"/>
          <w:rtl/>
        </w:rPr>
        <w:t>, 63.</w:t>
      </w:r>
    </w:p>
    <w:p w14:paraId="3CB6E28D" w14:textId="3F702EEF" w:rsidR="006C3A72" w:rsidRDefault="006C3A72" w:rsidP="00E91A32">
      <w:pPr>
        <w:pStyle w:val="a3"/>
        <w:numPr>
          <w:ilvl w:val="0"/>
          <w:numId w:val="7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מור, </w:t>
      </w:r>
      <w:r>
        <w:rPr>
          <w:rFonts w:ascii="David" w:hAnsi="David" w:cs="David" w:hint="cs"/>
          <w:b/>
          <w:bCs/>
          <w:sz w:val="24"/>
          <w:szCs w:val="24"/>
          <w:rtl/>
        </w:rPr>
        <w:t>אוטופיה</w:t>
      </w:r>
      <w:r>
        <w:rPr>
          <w:rFonts w:ascii="David" w:hAnsi="David" w:cs="David" w:hint="cs"/>
          <w:sz w:val="24"/>
          <w:szCs w:val="24"/>
          <w:rtl/>
        </w:rPr>
        <w:t xml:space="preserve">, 50–55. </w:t>
      </w:r>
    </w:p>
    <w:p w14:paraId="72FE05EC" w14:textId="77777777" w:rsidR="00C04BBE" w:rsidRDefault="00C04BBE" w:rsidP="00E91A32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33720FE0" w14:textId="77777777" w:rsidR="00C04BBE" w:rsidRDefault="00C04BBE" w:rsidP="00E91A32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1B24895B" w14:textId="1636128B" w:rsidR="006C3A72" w:rsidRPr="006C3A72" w:rsidRDefault="006C3A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פרק בתוך אסופת מאמרים:</w:t>
      </w:r>
    </w:p>
    <w:p w14:paraId="1FC3819E" w14:textId="1C0343A9" w:rsidR="006B554D" w:rsidRDefault="006B554D" w:rsidP="00E91A32">
      <w:pPr>
        <w:pStyle w:val="a3"/>
        <w:numPr>
          <w:ilvl w:val="0"/>
          <w:numId w:val="8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 w:rsidRPr="006B554D">
        <w:rPr>
          <w:rFonts w:ascii="David" w:hAnsi="David" w:cs="David"/>
          <w:sz w:val="24"/>
          <w:szCs w:val="24"/>
          <w:rtl/>
        </w:rPr>
        <w:t>מוטי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B554D">
        <w:rPr>
          <w:rFonts w:ascii="David" w:hAnsi="David" w:cs="David"/>
          <w:sz w:val="24"/>
          <w:szCs w:val="24"/>
          <w:rtl/>
        </w:rPr>
        <w:t>זלקין, "'למען הרם קרן ההשכלה': הדרשה בשירות האידאולוגיה המשכילית</w:t>
      </w:r>
      <w:r w:rsidR="00F076FF">
        <w:rPr>
          <w:rFonts w:ascii="David" w:hAnsi="David" w:cs="David" w:hint="cs"/>
          <w:sz w:val="24"/>
          <w:szCs w:val="24"/>
          <w:rtl/>
        </w:rPr>
        <w:t>,</w:t>
      </w:r>
      <w:r w:rsidRPr="006B554D">
        <w:rPr>
          <w:rFonts w:ascii="David" w:hAnsi="David" w:cs="David"/>
          <w:sz w:val="24"/>
          <w:szCs w:val="24"/>
          <w:rtl/>
        </w:rPr>
        <w:t xml:space="preserve">" בתוך </w:t>
      </w:r>
      <w:r w:rsidRPr="006B554D">
        <w:rPr>
          <w:rFonts w:ascii="David" w:hAnsi="David" w:cs="David"/>
          <w:b/>
          <w:bCs/>
          <w:sz w:val="24"/>
          <w:szCs w:val="24"/>
          <w:rtl/>
        </w:rPr>
        <w:t>דורש טוב לעמו: הדרשן,</w:t>
      </w:r>
      <w:r w:rsidRPr="006B554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B554D">
        <w:rPr>
          <w:rFonts w:ascii="David" w:hAnsi="David" w:cs="David"/>
          <w:b/>
          <w:bCs/>
          <w:sz w:val="24"/>
          <w:szCs w:val="24"/>
          <w:rtl/>
        </w:rPr>
        <w:t>הדרשה וספרות הדרוש בתרבות היהודית</w:t>
      </w:r>
      <w:r w:rsidRPr="006B554D">
        <w:rPr>
          <w:rFonts w:ascii="David" w:hAnsi="David" w:cs="David"/>
          <w:sz w:val="24"/>
          <w:szCs w:val="24"/>
          <w:rtl/>
        </w:rPr>
        <w:t xml:space="preserve">, עורכים: נחם אילן, כרמי הורוביץ, קימי קפלן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6B554D">
        <w:rPr>
          <w:rFonts w:ascii="David" w:hAnsi="David" w:cs="David"/>
          <w:sz w:val="24"/>
          <w:szCs w:val="24"/>
          <w:rtl/>
        </w:rPr>
        <w:t>ירושלים: מרכז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זלמן שזר, 2012</w:t>
      </w:r>
      <w:r w:rsidR="0064739B">
        <w:rPr>
          <w:rFonts w:ascii="David" w:hAnsi="David" w:cs="David" w:hint="cs"/>
          <w:sz w:val="24"/>
          <w:szCs w:val="24"/>
          <w:rtl/>
        </w:rPr>
        <w:t>), 115–130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127BA46" w14:textId="0117039E" w:rsidR="006C3A72" w:rsidRDefault="006C3A72" w:rsidP="00E91A32">
      <w:pPr>
        <w:pStyle w:val="a3"/>
        <w:numPr>
          <w:ilvl w:val="0"/>
          <w:numId w:val="8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זלקין, "הדרשה בשירות האידיאולוגיה המשכילית</w:t>
      </w:r>
      <w:r w:rsidR="00F076FF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" 120. </w:t>
      </w:r>
    </w:p>
    <w:p w14:paraId="6AF4E5F0" w14:textId="0D7C99E9" w:rsidR="006C3A72" w:rsidRDefault="006C3A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מאמר בכתב עת:</w:t>
      </w:r>
    </w:p>
    <w:p w14:paraId="0785AA79" w14:textId="69A040BD" w:rsidR="0031637C" w:rsidRDefault="0031637C" w:rsidP="00E91A32">
      <w:pPr>
        <w:pStyle w:val="a3"/>
        <w:numPr>
          <w:ilvl w:val="0"/>
          <w:numId w:val="10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 w:rsidRPr="0031637C">
        <w:rPr>
          <w:rFonts w:ascii="David" w:hAnsi="David" w:cs="David"/>
          <w:sz w:val="24"/>
          <w:szCs w:val="24"/>
          <w:rtl/>
        </w:rPr>
        <w:t>יוסף ה</w:t>
      </w:r>
      <w:r w:rsidR="009760F4">
        <w:rPr>
          <w:rFonts w:ascii="David" w:hAnsi="David" w:cs="David"/>
          <w:sz w:val="24"/>
          <w:szCs w:val="24"/>
          <w:rtl/>
        </w:rPr>
        <w:t xml:space="preserve">קר, "הדרשה ה'ספרדית' במאה הט"ז </w:t>
      </w:r>
      <w:r w:rsidR="009760F4">
        <w:rPr>
          <w:rFonts w:ascii="David" w:hAnsi="David" w:cs="David" w:hint="cs"/>
          <w:sz w:val="24"/>
          <w:szCs w:val="24"/>
          <w:rtl/>
        </w:rPr>
        <w:t>–</w:t>
      </w:r>
      <w:r w:rsidRPr="0031637C">
        <w:rPr>
          <w:rFonts w:ascii="David" w:hAnsi="David" w:cs="David"/>
          <w:sz w:val="24"/>
          <w:szCs w:val="24"/>
          <w:rtl/>
        </w:rPr>
        <w:t xml:space="preserve"> בין ספרות למקור היסטורי," </w:t>
      </w:r>
      <w:r w:rsidRPr="0031637C">
        <w:rPr>
          <w:rFonts w:ascii="David" w:hAnsi="David" w:cs="David"/>
          <w:b/>
          <w:bCs/>
          <w:sz w:val="24"/>
          <w:szCs w:val="24"/>
          <w:rtl/>
        </w:rPr>
        <w:t xml:space="preserve">פעמים </w:t>
      </w:r>
      <w:r w:rsidRPr="0031637C">
        <w:rPr>
          <w:rFonts w:ascii="David" w:hAnsi="David" w:cs="David"/>
          <w:sz w:val="24"/>
          <w:szCs w:val="24"/>
          <w:rtl/>
        </w:rPr>
        <w:t xml:space="preserve">26 </w:t>
      </w:r>
      <w:r>
        <w:rPr>
          <w:rFonts w:ascii="David" w:hAnsi="David" w:cs="David" w:hint="cs"/>
          <w:sz w:val="24"/>
          <w:szCs w:val="24"/>
          <w:rtl/>
        </w:rPr>
        <w:t>(1986)</w:t>
      </w:r>
      <w:r w:rsidRPr="0031637C">
        <w:rPr>
          <w:rFonts w:ascii="David" w:hAnsi="David" w:cs="David"/>
          <w:sz w:val="24"/>
          <w:szCs w:val="24"/>
          <w:rtl/>
        </w:rPr>
        <w:t>:</w:t>
      </w:r>
      <w:r w:rsidR="0077704F">
        <w:rPr>
          <w:rFonts w:ascii="David" w:hAnsi="David" w:cs="David" w:hint="cs"/>
          <w:sz w:val="24"/>
          <w:szCs w:val="24"/>
          <w:rtl/>
        </w:rPr>
        <w:t xml:space="preserve"> 108–127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3E089A5" w14:textId="2926A320" w:rsidR="006C3A72" w:rsidRDefault="006C3A72" w:rsidP="00E91A32">
      <w:pPr>
        <w:pStyle w:val="a3"/>
        <w:numPr>
          <w:ilvl w:val="0"/>
          <w:numId w:val="10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הקר, "הדרשה ה'ספרדית' במאה הט"ז," 112–114. </w:t>
      </w:r>
    </w:p>
    <w:p w14:paraId="4A4CC5D6" w14:textId="51BC35B9" w:rsidR="00910772" w:rsidRDefault="009107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מאמר בכתב עת מקוון:</w:t>
      </w:r>
    </w:p>
    <w:p w14:paraId="0CC5FE59" w14:textId="2FBBA52C" w:rsidR="00D21F55" w:rsidRPr="00D21F55" w:rsidRDefault="00D21F55" w:rsidP="00E91A32">
      <w:pPr>
        <w:pStyle w:val="a3"/>
        <w:numPr>
          <w:ilvl w:val="0"/>
          <w:numId w:val="12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 w:rsidRPr="00D21F55">
        <w:rPr>
          <w:rFonts w:ascii="David" w:hAnsi="David" w:cs="David" w:hint="cs"/>
          <w:sz w:val="24"/>
          <w:szCs w:val="24"/>
          <w:rtl/>
        </w:rPr>
        <w:t xml:space="preserve">דוד שפרבר, </w:t>
      </w:r>
      <w:r w:rsidRPr="00D21F55">
        <w:rPr>
          <w:rFonts w:ascii="David" w:hAnsi="David" w:cs="David"/>
          <w:sz w:val="24"/>
          <w:szCs w:val="24"/>
          <w:rtl/>
        </w:rPr>
        <w:t xml:space="preserve">"'הבזות': נידה, טומאה וטהרה באמנות יהודית פמיניסטית," </w:t>
      </w:r>
      <w:r w:rsidRPr="00D21F55">
        <w:rPr>
          <w:rFonts w:ascii="David" w:hAnsi="David" w:cs="David"/>
          <w:b/>
          <w:bCs/>
          <w:sz w:val="24"/>
          <w:szCs w:val="24"/>
          <w:rtl/>
        </w:rPr>
        <w:t>היסטוריה ותיאוריה: הפרוטוקולים</w:t>
      </w:r>
      <w:r w:rsidRPr="00D21F55">
        <w:rPr>
          <w:rFonts w:ascii="David" w:hAnsi="David" w:cs="David"/>
          <w:sz w:val="24"/>
          <w:szCs w:val="24"/>
          <w:rtl/>
        </w:rPr>
        <w:t>,</w:t>
      </w:r>
      <w:r w:rsidRPr="00D21F55">
        <w:rPr>
          <w:rFonts w:ascii="David" w:hAnsi="David" w:cs="David" w:hint="cs"/>
          <w:sz w:val="24"/>
          <w:szCs w:val="24"/>
          <w:rtl/>
        </w:rPr>
        <w:t xml:space="preserve"> </w:t>
      </w:r>
      <w:r w:rsidRPr="00D21F55">
        <w:rPr>
          <w:rFonts w:ascii="David" w:hAnsi="David" w:cs="David"/>
          <w:sz w:val="24"/>
          <w:szCs w:val="24"/>
          <w:rtl/>
        </w:rPr>
        <w:t xml:space="preserve">כתב־עת מקוון, בצלאל: המחלקה להיסטוריה ותיאוריה 22 </w:t>
      </w:r>
      <w:r w:rsidRPr="00D21F55">
        <w:rPr>
          <w:rFonts w:ascii="David" w:hAnsi="David" w:cs="David" w:hint="cs"/>
          <w:sz w:val="24"/>
          <w:szCs w:val="24"/>
          <w:rtl/>
        </w:rPr>
        <w:t>(</w:t>
      </w:r>
      <w:r w:rsidRPr="00D21F55">
        <w:rPr>
          <w:rFonts w:ascii="David" w:hAnsi="David" w:cs="David"/>
          <w:sz w:val="24"/>
          <w:szCs w:val="24"/>
          <w:rtl/>
        </w:rPr>
        <w:t>2011</w:t>
      </w:r>
      <w:r w:rsidRPr="00D21F55">
        <w:rPr>
          <w:rFonts w:ascii="David" w:hAnsi="David" w:cs="David" w:hint="cs"/>
          <w:sz w:val="24"/>
          <w:szCs w:val="24"/>
          <w:rtl/>
        </w:rPr>
        <w:t>):</w:t>
      </w:r>
      <w:r w:rsidRPr="00D21F55">
        <w:rPr>
          <w:rFonts w:ascii="David" w:hAnsi="David" w:cs="David"/>
          <w:sz w:val="24"/>
          <w:szCs w:val="24"/>
          <w:rtl/>
        </w:rPr>
        <w:t xml:space="preserve"> נדלה ב</w:t>
      </w:r>
      <w:r w:rsidRPr="00D21F55">
        <w:rPr>
          <w:rFonts w:ascii="David" w:hAnsi="David" w:cs="David" w:hint="cs"/>
          <w:sz w:val="24"/>
          <w:szCs w:val="24"/>
          <w:rtl/>
        </w:rPr>
        <w:t xml:space="preserve">־8.5.2017,  </w:t>
      </w:r>
      <w:hyperlink r:id="rId7" w:history="1">
        <w:r w:rsidRPr="00D21F55">
          <w:rPr>
            <w:rStyle w:val="Hyperlink"/>
            <w:rFonts w:ascii="David" w:hAnsi="David" w:cs="David"/>
            <w:sz w:val="24"/>
            <w:szCs w:val="24"/>
          </w:rPr>
          <w:t>http://bezalel.secured.co.il/zope/home/he/1315639275/1315640429</w:t>
        </w:r>
      </w:hyperlink>
      <w:r w:rsidRPr="00D21F55">
        <w:rPr>
          <w:rFonts w:ascii="David" w:hAnsi="David" w:cs="David" w:hint="cs"/>
          <w:sz w:val="24"/>
          <w:szCs w:val="24"/>
          <w:rtl/>
        </w:rPr>
        <w:t>.</w:t>
      </w:r>
    </w:p>
    <w:p w14:paraId="3C65E8E0" w14:textId="00626E00" w:rsidR="00910772" w:rsidRDefault="00D21F55" w:rsidP="00E91A32">
      <w:pPr>
        <w:pStyle w:val="a3"/>
        <w:numPr>
          <w:ilvl w:val="0"/>
          <w:numId w:val="12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שפרבר, "</w:t>
      </w:r>
      <w:r w:rsidRPr="00D21F55">
        <w:rPr>
          <w:rFonts w:ascii="David" w:hAnsi="David" w:cs="David"/>
          <w:sz w:val="24"/>
          <w:szCs w:val="24"/>
          <w:rtl/>
        </w:rPr>
        <w:t>נידה, טומאה וטהרה באמנות יהודית פמיניסטית</w:t>
      </w:r>
      <w:r>
        <w:rPr>
          <w:rFonts w:ascii="David" w:hAnsi="David" w:cs="David" w:hint="cs"/>
          <w:sz w:val="24"/>
          <w:szCs w:val="24"/>
          <w:rtl/>
        </w:rPr>
        <w:t xml:space="preserve">," </w:t>
      </w:r>
      <w:r w:rsidRPr="00D21F55">
        <w:rPr>
          <w:rFonts w:ascii="David" w:hAnsi="David" w:cs="David"/>
          <w:sz w:val="24"/>
          <w:szCs w:val="24"/>
          <w:rtl/>
        </w:rPr>
        <w:t>§</w:t>
      </w:r>
      <w:r>
        <w:rPr>
          <w:rFonts w:ascii="David" w:hAnsi="David" w:cs="David"/>
          <w:sz w:val="24"/>
          <w:szCs w:val="24"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B22A2E1" w14:textId="6B7C7F31" w:rsidR="00CB6D65" w:rsidRDefault="00CB6D65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מאמר בעיתון מקוון:</w:t>
      </w:r>
    </w:p>
    <w:p w14:paraId="222877EF" w14:textId="5806D5ED" w:rsidR="00CB6D65" w:rsidRDefault="00CB6D65" w:rsidP="00E91A32">
      <w:pPr>
        <w:pStyle w:val="a3"/>
        <w:numPr>
          <w:ilvl w:val="0"/>
          <w:numId w:val="13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בן שלו, "זמרים מזרחים, תלמדו מסטטיק ובן אל: אלבום הפופ מת," </w:t>
      </w:r>
      <w:r w:rsidR="001C2065">
        <w:rPr>
          <w:rFonts w:ascii="David" w:hAnsi="David" w:cs="David" w:hint="cs"/>
          <w:b/>
          <w:bCs/>
          <w:sz w:val="24"/>
          <w:szCs w:val="24"/>
          <w:rtl/>
        </w:rPr>
        <w:t>הארץ</w:t>
      </w:r>
      <w:r w:rsidR="001C2065">
        <w:rPr>
          <w:rFonts w:ascii="David" w:hAnsi="David" w:cs="David" w:hint="cs"/>
          <w:sz w:val="24"/>
          <w:szCs w:val="24"/>
          <w:rtl/>
        </w:rPr>
        <w:t xml:space="preserve">, גלריה, שמיעה סלקטיבית, 7.9.2017, נדלה ב־29.10.2017, </w:t>
      </w:r>
      <w:hyperlink r:id="rId8" w:history="1">
        <w:r w:rsidR="001C2065" w:rsidRPr="004B3573">
          <w:rPr>
            <w:rStyle w:val="Hyperlink"/>
            <w:rFonts w:ascii="David" w:hAnsi="David" w:cs="David"/>
            <w:sz w:val="24"/>
            <w:szCs w:val="24"/>
          </w:rPr>
          <w:t>https://www.haaretz.co.il/gallery/music/selective-hearing/.premium-1.4423406</w:t>
        </w:r>
      </w:hyperlink>
      <w:r w:rsidR="001C2065">
        <w:rPr>
          <w:rFonts w:ascii="David" w:hAnsi="David" w:cs="David" w:hint="cs"/>
          <w:sz w:val="24"/>
          <w:szCs w:val="24"/>
          <w:rtl/>
        </w:rPr>
        <w:t>.</w:t>
      </w:r>
    </w:p>
    <w:p w14:paraId="1949C10A" w14:textId="1C284D2F" w:rsidR="00972CA4" w:rsidRPr="00CB6D65" w:rsidRDefault="00972CA4" w:rsidP="00E91A32">
      <w:pPr>
        <w:pStyle w:val="a3"/>
        <w:numPr>
          <w:ilvl w:val="0"/>
          <w:numId w:val="13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שלו, "אלבום הפופ מת". </w:t>
      </w:r>
    </w:p>
    <w:p w14:paraId="653D8F9E" w14:textId="5323491C" w:rsidR="006C3A72" w:rsidRPr="006C3A72" w:rsidRDefault="00245177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עבודת דוקטור ו/או עבודת גמר לתואר שני</w:t>
      </w:r>
      <w:r w:rsidR="006C3A72">
        <w:rPr>
          <w:rFonts w:ascii="David" w:hAnsi="David" w:cs="David" w:hint="cs"/>
          <w:sz w:val="24"/>
          <w:szCs w:val="24"/>
          <w:rtl/>
        </w:rPr>
        <w:t>:</w:t>
      </w:r>
    </w:p>
    <w:p w14:paraId="5B647C9C" w14:textId="1F71D902" w:rsidR="005D524A" w:rsidRDefault="005D524A" w:rsidP="00E91A32">
      <w:pPr>
        <w:pStyle w:val="a3"/>
        <w:numPr>
          <w:ilvl w:val="0"/>
          <w:numId w:val="11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 w:rsidRPr="005D524A">
        <w:rPr>
          <w:rFonts w:ascii="David" w:hAnsi="David" w:cs="David"/>
          <w:sz w:val="24"/>
          <w:szCs w:val="24"/>
          <w:rtl/>
        </w:rPr>
        <w:t>נטע שרם, "חלוצי פרשת השבוע: מגרסא דינקותא לעלון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D524A">
        <w:rPr>
          <w:rFonts w:ascii="David" w:hAnsi="David" w:cs="David"/>
          <w:sz w:val="24"/>
          <w:szCs w:val="24"/>
          <w:rtl/>
        </w:rPr>
        <w:t xml:space="preserve">הקיבוצי" </w:t>
      </w:r>
      <w:r>
        <w:rPr>
          <w:rFonts w:ascii="David" w:hAnsi="David" w:cs="David" w:hint="cs"/>
          <w:sz w:val="24"/>
          <w:szCs w:val="24"/>
          <w:rtl/>
        </w:rPr>
        <w:t>(</w:t>
      </w:r>
      <w:r w:rsidRPr="005D524A">
        <w:rPr>
          <w:rFonts w:ascii="David" w:hAnsi="David" w:cs="David"/>
          <w:sz w:val="24"/>
          <w:szCs w:val="24"/>
          <w:rtl/>
        </w:rPr>
        <w:t>עבודת גמר לתואר שני, האוניברסיטה העברית, 2016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5D524A">
        <w:rPr>
          <w:rFonts w:ascii="David" w:hAnsi="David" w:cs="David"/>
          <w:sz w:val="24"/>
          <w:szCs w:val="24"/>
          <w:rtl/>
        </w:rPr>
        <w:t>.</w:t>
      </w:r>
    </w:p>
    <w:p w14:paraId="6D9EF6C5" w14:textId="47652C13" w:rsidR="006C3A72" w:rsidRDefault="006C3A72" w:rsidP="00E91A32">
      <w:pPr>
        <w:pStyle w:val="a3"/>
        <w:numPr>
          <w:ilvl w:val="0"/>
          <w:numId w:val="11"/>
        </w:numPr>
        <w:spacing w:line="360" w:lineRule="auto"/>
        <w:ind w:left="946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שרם, "חלוצי פרשת השבוע," 30–38. </w:t>
      </w:r>
    </w:p>
    <w:p w14:paraId="2A32D996" w14:textId="38DE4E5E" w:rsidR="00910772" w:rsidRPr="00910772" w:rsidRDefault="00910772" w:rsidP="00E91A3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10772">
        <w:rPr>
          <w:rFonts w:ascii="David" w:hAnsi="David" w:cs="David" w:hint="cs"/>
          <w:sz w:val="24"/>
          <w:szCs w:val="24"/>
          <w:rtl/>
        </w:rPr>
        <w:t>הפניה למקורות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D96D078" w14:textId="43713401" w:rsidR="00910772" w:rsidRDefault="00910772" w:rsidP="00E91A32">
      <w:pPr>
        <w:pStyle w:val="a3"/>
        <w:spacing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בבלי נידה סו, ע"א.</w:t>
      </w:r>
    </w:p>
    <w:p w14:paraId="68E4EB9E" w14:textId="52FC03B2" w:rsidR="00910772" w:rsidRDefault="00910772" w:rsidP="00E91A32">
      <w:pPr>
        <w:pStyle w:val="a3"/>
        <w:spacing w:line="360" w:lineRule="auto"/>
        <w:ind w:left="1080"/>
        <w:jc w:val="both"/>
        <w:rPr>
          <w:rFonts w:ascii="David" w:hAnsi="David" w:cs="David"/>
          <w:sz w:val="24"/>
          <w:szCs w:val="24"/>
          <w:rtl/>
        </w:rPr>
      </w:pPr>
      <w:r w:rsidRPr="00910772">
        <w:rPr>
          <w:rFonts w:ascii="David" w:hAnsi="David" w:cs="David"/>
          <w:b/>
          <w:bCs/>
          <w:sz w:val="24"/>
          <w:szCs w:val="24"/>
          <w:rtl/>
        </w:rPr>
        <w:t>שולחן ערוך</w:t>
      </w:r>
      <w:r w:rsidRPr="00910772">
        <w:rPr>
          <w:rFonts w:ascii="David" w:hAnsi="David" w:cs="David"/>
          <w:sz w:val="24"/>
          <w:szCs w:val="24"/>
          <w:rtl/>
        </w:rPr>
        <w:t>, יורה דעה, סימן קפה סעיף ג.</w:t>
      </w:r>
    </w:p>
    <w:p w14:paraId="34E2A279" w14:textId="77777777" w:rsidR="005D524A" w:rsidRPr="00E751E1" w:rsidRDefault="005D524A" w:rsidP="00E91A32">
      <w:pPr>
        <w:pStyle w:val="a3"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3EE209F" w14:textId="2A4BFEFA" w:rsidR="00BD0B68" w:rsidRPr="00BB5070" w:rsidRDefault="00412551" w:rsidP="00E91A32">
      <w:pPr>
        <w:bidi w:val="0"/>
        <w:spacing w:line="360" w:lineRule="auto"/>
        <w:jc w:val="both"/>
        <w:rPr>
          <w:rFonts w:asciiTheme="majorBidi" w:hAnsiTheme="majorBidi"/>
          <w:b/>
          <w:bCs/>
          <w:sz w:val="28"/>
          <w:szCs w:val="28"/>
        </w:rPr>
      </w:pPr>
      <w:r w:rsidRPr="00BB5070">
        <w:rPr>
          <w:rFonts w:asciiTheme="majorBidi" w:hAnsiTheme="majorBidi"/>
          <w:b/>
          <w:bCs/>
          <w:sz w:val="28"/>
          <w:szCs w:val="28"/>
        </w:rPr>
        <w:t>Sources in English and/or other foreign language</w:t>
      </w:r>
      <w:r w:rsidR="00BB5070" w:rsidRPr="00BB5070">
        <w:rPr>
          <w:rFonts w:asciiTheme="majorBidi" w:hAnsiTheme="majorBidi"/>
          <w:b/>
          <w:bCs/>
          <w:sz w:val="28"/>
          <w:szCs w:val="28"/>
        </w:rPr>
        <w:t>:</w:t>
      </w:r>
    </w:p>
    <w:p w14:paraId="01662A8A" w14:textId="6A816224" w:rsidR="00BD0B68" w:rsidRPr="00BA14EF" w:rsidRDefault="00BD0B68" w:rsidP="00E91A32">
      <w:pPr>
        <w:pStyle w:val="a3"/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</w:rPr>
      </w:pPr>
      <w:r w:rsidRPr="00BA14EF">
        <w:rPr>
          <w:rFonts w:asciiTheme="majorBidi" w:eastAsia="Times New Roman" w:hAnsiTheme="majorBidi"/>
          <w:sz w:val="22"/>
          <w:szCs w:val="22"/>
        </w:rPr>
        <w:t>Book</w:t>
      </w:r>
      <w:r w:rsidR="00C04BBE">
        <w:rPr>
          <w:rFonts w:asciiTheme="majorBidi" w:eastAsia="Times New Roman" w:hAnsiTheme="majorBidi"/>
          <w:sz w:val="22"/>
          <w:szCs w:val="22"/>
        </w:rPr>
        <w:t>:</w:t>
      </w:r>
    </w:p>
    <w:p w14:paraId="477A9B24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One author:</w:t>
      </w:r>
    </w:p>
    <w:p w14:paraId="459E97F5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Michael Pollan,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The Omnivore’s Dilemma: A Natural History of Four Meals</w:t>
      </w:r>
      <w:r w:rsidRPr="00BD0B68">
        <w:rPr>
          <w:rFonts w:asciiTheme="majorBidi" w:eastAsia="Times New Roman" w:hAnsiTheme="majorBidi"/>
          <w:sz w:val="22"/>
          <w:szCs w:val="22"/>
        </w:rPr>
        <w:t> (New York: Penguin, 2006), 99–100.</w:t>
      </w:r>
    </w:p>
    <w:p w14:paraId="70387C2D" w14:textId="77777777" w:rsidR="00BD0B68" w:rsidRPr="00F510ED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F510ED">
        <w:rPr>
          <w:rFonts w:asciiTheme="majorBidi" w:eastAsia="Times New Roman" w:hAnsiTheme="majorBidi"/>
          <w:sz w:val="22"/>
          <w:szCs w:val="22"/>
        </w:rPr>
        <w:t>2. Pollan, </w:t>
      </w:r>
      <w:r w:rsidRPr="00F510ED">
        <w:rPr>
          <w:rFonts w:asciiTheme="majorBidi" w:eastAsia="Times New Roman" w:hAnsiTheme="majorBidi"/>
          <w:i/>
          <w:iCs/>
          <w:sz w:val="22"/>
          <w:szCs w:val="22"/>
        </w:rPr>
        <w:t>Omnivore’s Dilemma</w:t>
      </w:r>
      <w:r w:rsidRPr="00F510ED">
        <w:rPr>
          <w:rFonts w:asciiTheme="majorBidi" w:eastAsia="Times New Roman" w:hAnsiTheme="majorBidi"/>
          <w:sz w:val="22"/>
          <w:szCs w:val="22"/>
        </w:rPr>
        <w:t>, 3.</w:t>
      </w:r>
    </w:p>
    <w:p w14:paraId="6C2D7BED" w14:textId="77777777" w:rsidR="00C04BBE" w:rsidRDefault="00C04BBE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</w:p>
    <w:p w14:paraId="2FDDDDA2" w14:textId="009EEE6D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Two or more authors:</w:t>
      </w:r>
    </w:p>
    <w:p w14:paraId="6D8C6305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Geoffrey C. Ward and Ken Burns,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The War: An Intimate History, 1941–1945</w:t>
      </w:r>
      <w:r w:rsidRPr="00BD0B68">
        <w:rPr>
          <w:rFonts w:asciiTheme="majorBidi" w:eastAsia="Times New Roman" w:hAnsiTheme="majorBidi"/>
          <w:sz w:val="22"/>
          <w:szCs w:val="22"/>
        </w:rPr>
        <w:t> (New York: Knopf, 2007), 52.</w:t>
      </w:r>
    </w:p>
    <w:p w14:paraId="3DBFA87C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Ward and Burns,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War</w:t>
      </w:r>
      <w:r w:rsidRPr="00BD0B68">
        <w:rPr>
          <w:rFonts w:asciiTheme="majorBidi" w:eastAsia="Times New Roman" w:hAnsiTheme="majorBidi"/>
          <w:sz w:val="22"/>
          <w:szCs w:val="22"/>
        </w:rPr>
        <w:t>, 59–61.</w:t>
      </w:r>
    </w:p>
    <w:p w14:paraId="25CB1407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lastRenderedPageBreak/>
        <w:t>Editor, translator, or compiler instead of author:</w:t>
      </w:r>
    </w:p>
    <w:p w14:paraId="7ACC0690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Richmond Lattimore, trans.,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The Iliad of Homer</w:t>
      </w:r>
      <w:r w:rsidRPr="00BD0B68">
        <w:rPr>
          <w:rFonts w:asciiTheme="majorBidi" w:eastAsia="Times New Roman" w:hAnsiTheme="majorBidi"/>
          <w:sz w:val="22"/>
          <w:szCs w:val="22"/>
        </w:rPr>
        <w:t> (Chicago: University of Chicago Press, 1951), 91–92.</w:t>
      </w:r>
    </w:p>
    <w:p w14:paraId="0024C118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Lattimore,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Iliad</w:t>
      </w:r>
      <w:r w:rsidRPr="00BD0B68">
        <w:rPr>
          <w:rFonts w:asciiTheme="majorBidi" w:eastAsia="Times New Roman" w:hAnsiTheme="majorBidi"/>
          <w:sz w:val="22"/>
          <w:szCs w:val="22"/>
        </w:rPr>
        <w:t>, 24.</w:t>
      </w:r>
    </w:p>
    <w:p w14:paraId="1B8EDE99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Editor, translator, or compiler in addition to author</w:t>
      </w:r>
      <w:r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52FE42B6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Gabriel García Márquez,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Love in the Time of Cholera</w:t>
      </w:r>
      <w:r w:rsidRPr="00BD0B68">
        <w:rPr>
          <w:rFonts w:asciiTheme="majorBidi" w:eastAsia="Times New Roman" w:hAnsiTheme="majorBidi"/>
          <w:sz w:val="22"/>
          <w:szCs w:val="22"/>
        </w:rPr>
        <w:t>, trans. Edith Grossman (London: Cape, 1988), 242–55.</w:t>
      </w:r>
    </w:p>
    <w:p w14:paraId="7F52239E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García Márquez,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Cholera</w:t>
      </w:r>
      <w:r w:rsidRPr="00BD0B68">
        <w:rPr>
          <w:rFonts w:asciiTheme="majorBidi" w:eastAsia="Times New Roman" w:hAnsiTheme="majorBidi"/>
          <w:sz w:val="22"/>
          <w:szCs w:val="22"/>
        </w:rPr>
        <w:t>, 33.</w:t>
      </w:r>
    </w:p>
    <w:p w14:paraId="22BB2B36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Chapter or other part of a book:</w:t>
      </w:r>
    </w:p>
    <w:p w14:paraId="01756F6B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John D. Kelly, “Seeing Red: Mao Fetishism, Pax Americana, and the Moral Economy of War,” in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Anthropology and Global Counterinsurgency</w:t>
      </w:r>
      <w:r w:rsidRPr="00BD0B68">
        <w:rPr>
          <w:rFonts w:asciiTheme="majorBidi" w:eastAsia="Times New Roman" w:hAnsiTheme="majorBidi"/>
          <w:sz w:val="22"/>
          <w:szCs w:val="22"/>
        </w:rPr>
        <w:t>, ed. John D. Kelly et al. (Chicago: University of Chicago Press, 2010), 77.</w:t>
      </w:r>
    </w:p>
    <w:p w14:paraId="11400336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Kelly, “Seeing Red,” 81–82.</w:t>
      </w:r>
    </w:p>
    <w:p w14:paraId="144D57F8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Preface, foreword, introduction, or similar part of a book</w:t>
      </w:r>
      <w:r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76348BAC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James Rieger, introduction to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Frankenstein; or, The Modern Prometheus</w:t>
      </w:r>
      <w:r w:rsidRPr="00BD0B68">
        <w:rPr>
          <w:rFonts w:asciiTheme="majorBidi" w:eastAsia="Times New Roman" w:hAnsiTheme="majorBidi"/>
          <w:sz w:val="22"/>
          <w:szCs w:val="22"/>
        </w:rPr>
        <w:t>, by Mary Wollstonecraft Shelley (Chicago: University of Chicago Press, 1982), xx–xxi.</w:t>
      </w:r>
    </w:p>
    <w:p w14:paraId="58DF49BB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Rieger, introduction, xxxiii.</w:t>
      </w:r>
    </w:p>
    <w:p w14:paraId="24C26A08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Journal article</w:t>
      </w:r>
      <w:r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516A6CE0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Joshua I. Weinstein, “The Market in Plato’s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Republic</w:t>
      </w:r>
      <w:r w:rsidRPr="00BD0B68">
        <w:rPr>
          <w:rFonts w:asciiTheme="majorBidi" w:eastAsia="Times New Roman" w:hAnsiTheme="majorBidi"/>
          <w:sz w:val="22"/>
          <w:szCs w:val="22"/>
        </w:rPr>
        <w:t>,”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Classical Philology</w:t>
      </w:r>
      <w:r w:rsidRPr="00BD0B68">
        <w:rPr>
          <w:rFonts w:asciiTheme="majorBidi" w:eastAsia="Times New Roman" w:hAnsiTheme="majorBidi"/>
          <w:sz w:val="22"/>
          <w:szCs w:val="22"/>
        </w:rPr>
        <w:t> 104 (2009): 440.</w:t>
      </w:r>
    </w:p>
    <w:p w14:paraId="7ADFC183" w14:textId="21B52936" w:rsid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Weinstein, “Plato’s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Republic</w:t>
      </w:r>
      <w:r w:rsidRPr="00BD0B68">
        <w:rPr>
          <w:rFonts w:asciiTheme="majorBidi" w:eastAsia="Times New Roman" w:hAnsiTheme="majorBidi"/>
          <w:sz w:val="22"/>
          <w:szCs w:val="22"/>
        </w:rPr>
        <w:t>,” 452–53.</w:t>
      </w:r>
    </w:p>
    <w:p w14:paraId="5827F906" w14:textId="5035827E" w:rsidR="00285A6D" w:rsidRPr="00BD0B68" w:rsidRDefault="00285A6D" w:rsidP="00E91A32">
      <w:pPr>
        <w:bidi w:val="0"/>
        <w:spacing w:before="90" w:after="0" w:line="324" w:lineRule="atLeast"/>
        <w:jc w:val="both"/>
        <w:outlineLvl w:val="4"/>
        <w:rPr>
          <w:rFonts w:asciiTheme="majorBidi" w:eastAsia="Times New Roman" w:hAnsiTheme="majorBidi"/>
          <w:sz w:val="22"/>
          <w:szCs w:val="22"/>
          <w:u w:val="single"/>
        </w:rPr>
      </w:pPr>
      <w:r w:rsidRPr="00285A6D">
        <w:rPr>
          <w:rFonts w:asciiTheme="majorBidi" w:eastAsia="Times New Roman" w:hAnsiTheme="majorBidi"/>
          <w:sz w:val="22"/>
          <w:szCs w:val="22"/>
          <w:u w:val="single"/>
        </w:rPr>
        <w:t>Article in an</w:t>
      </w:r>
      <w:r>
        <w:rPr>
          <w:rFonts w:asciiTheme="majorBidi" w:eastAsia="Times New Roman" w:hAnsiTheme="majorBidi"/>
          <w:sz w:val="22"/>
          <w:szCs w:val="22"/>
          <w:u w:val="single"/>
        </w:rPr>
        <w:t xml:space="preserve"> online journal (same as above):</w:t>
      </w:r>
    </w:p>
    <w:p w14:paraId="10893F83" w14:textId="168BD820" w:rsidR="00285A6D" w:rsidRPr="00BD0B68" w:rsidRDefault="00285A6D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 xml:space="preserve">1. </w:t>
      </w:r>
      <w:proofErr w:type="spellStart"/>
      <w:r w:rsidR="00037E57" w:rsidRPr="00037E57">
        <w:rPr>
          <w:rFonts w:asciiTheme="majorBidi" w:eastAsia="Times New Roman" w:hAnsiTheme="majorBidi"/>
          <w:sz w:val="22"/>
          <w:szCs w:val="22"/>
        </w:rPr>
        <w:t>Gueorgi</w:t>
      </w:r>
      <w:proofErr w:type="spellEnd"/>
      <w:r w:rsidR="00037E57" w:rsidRPr="00037E57">
        <w:rPr>
          <w:rFonts w:asciiTheme="majorBidi" w:eastAsia="Times New Roman" w:hAnsiTheme="majorBidi"/>
          <w:sz w:val="22"/>
          <w:szCs w:val="22"/>
        </w:rPr>
        <w:t xml:space="preserve"> </w:t>
      </w:r>
      <w:proofErr w:type="spellStart"/>
      <w:r w:rsidR="00037E57" w:rsidRPr="00037E57">
        <w:rPr>
          <w:rFonts w:asciiTheme="majorBidi" w:eastAsia="Times New Roman" w:hAnsiTheme="majorBidi"/>
          <w:sz w:val="22"/>
          <w:szCs w:val="22"/>
        </w:rPr>
        <w:t>Kossinets</w:t>
      </w:r>
      <w:proofErr w:type="spellEnd"/>
      <w:r w:rsidR="00037E57" w:rsidRPr="00037E57">
        <w:rPr>
          <w:rFonts w:asciiTheme="majorBidi" w:eastAsia="Times New Roman" w:hAnsiTheme="majorBidi"/>
          <w:sz w:val="22"/>
          <w:szCs w:val="22"/>
        </w:rPr>
        <w:t xml:space="preserve"> and Duncan J. Watts, “Origins of Homophily in an Evolving Social Network,” American Journal of Sociology 115 (2009): 411.</w:t>
      </w:r>
    </w:p>
    <w:p w14:paraId="317B8CE8" w14:textId="77777777" w:rsidR="00037E57" w:rsidRDefault="00285A6D" w:rsidP="00E91A32">
      <w:pPr>
        <w:shd w:val="clear" w:color="auto" w:fill="FFFFFF"/>
        <w:bidi w:val="0"/>
        <w:spacing w:after="120" w:line="324" w:lineRule="atLeast"/>
        <w:ind w:left="284"/>
        <w:jc w:val="both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</w:rPr>
        <w:t xml:space="preserve">2. </w:t>
      </w:r>
      <w:proofErr w:type="spellStart"/>
      <w:r w:rsidR="00037E57" w:rsidRPr="00037E57">
        <w:rPr>
          <w:rFonts w:asciiTheme="majorBidi" w:eastAsia="Times New Roman" w:hAnsiTheme="majorBidi"/>
          <w:sz w:val="22"/>
          <w:szCs w:val="22"/>
        </w:rPr>
        <w:t>Kossinets</w:t>
      </w:r>
      <w:proofErr w:type="spellEnd"/>
      <w:r w:rsidR="00037E57" w:rsidRPr="00037E57">
        <w:rPr>
          <w:rFonts w:asciiTheme="majorBidi" w:eastAsia="Times New Roman" w:hAnsiTheme="majorBidi"/>
          <w:sz w:val="22"/>
          <w:szCs w:val="22"/>
        </w:rPr>
        <w:t xml:space="preserve"> and Watts, “Origins of Homophily,” 439.</w:t>
      </w:r>
    </w:p>
    <w:p w14:paraId="1A346068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  <w:u w:val="single"/>
          <w:rtl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Article in a newspaper or popular magazine</w:t>
      </w:r>
      <w:r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6663437B" w14:textId="77777777" w:rsidR="00BD0B68" w:rsidRPr="00BD0B68" w:rsidRDefault="00BD0B68" w:rsidP="00E91A32">
      <w:pPr>
        <w:bidi w:val="0"/>
        <w:spacing w:after="240" w:line="324" w:lineRule="atLeast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If you consulted the article online, include a URL;. If no author is identified, begin the citation with the article title.</w:t>
      </w:r>
    </w:p>
    <w:p w14:paraId="0920AD63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1. Daniel Mendelsohn, “But Enough about Me,”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New Yorker</w:t>
      </w:r>
      <w:r w:rsidRPr="00BD0B68">
        <w:rPr>
          <w:rFonts w:asciiTheme="majorBidi" w:eastAsia="Times New Roman" w:hAnsiTheme="majorBidi"/>
          <w:sz w:val="22"/>
          <w:szCs w:val="22"/>
        </w:rPr>
        <w:t>, January 25, 2010, 68.</w:t>
      </w:r>
    </w:p>
    <w:p w14:paraId="45A8716D" w14:textId="3D8FB8A5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Sheryl Gay Stolberg and Robert Pear, “Wary Centrists Posing Challenge in Health Care Vote,” </w:t>
      </w:r>
      <w:r w:rsidRPr="00BD0B68">
        <w:rPr>
          <w:rFonts w:asciiTheme="majorBidi" w:eastAsia="Times New Roman" w:hAnsiTheme="majorBidi"/>
          <w:i/>
          <w:iCs/>
          <w:sz w:val="22"/>
          <w:szCs w:val="22"/>
        </w:rPr>
        <w:t>New York Times</w:t>
      </w:r>
      <w:r w:rsidRPr="00BD0B68">
        <w:rPr>
          <w:rFonts w:asciiTheme="majorBidi" w:eastAsia="Times New Roman" w:hAnsiTheme="majorBidi"/>
          <w:sz w:val="22"/>
          <w:szCs w:val="22"/>
        </w:rPr>
        <w:t xml:space="preserve">, February 27, 2010, accessed February 28, 2010, </w:t>
      </w:r>
      <w:hyperlink r:id="rId9" w:history="1">
        <w:r w:rsidRPr="00093204">
          <w:rPr>
            <w:rStyle w:val="Hyperlink"/>
            <w:rFonts w:asciiTheme="majorBidi" w:eastAsia="Times New Roman" w:hAnsiTheme="majorBidi"/>
            <w:sz w:val="22"/>
            <w:szCs w:val="22"/>
          </w:rPr>
          <w:t>http://www.nytimes.com/2010/02/28/us/politics/28health.html</w:t>
        </w:r>
      </w:hyperlink>
      <w:r w:rsidRPr="00BD0B68">
        <w:rPr>
          <w:rFonts w:asciiTheme="majorBidi" w:eastAsia="Times New Roman" w:hAnsiTheme="majorBidi"/>
          <w:sz w:val="22"/>
          <w:szCs w:val="22"/>
        </w:rPr>
        <w:t>.</w:t>
      </w:r>
    </w:p>
    <w:p w14:paraId="6A1440DB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3. Mendelsohn, “But Enough about Me,” 69.</w:t>
      </w:r>
    </w:p>
    <w:p w14:paraId="2608FEBB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4. Stolberg and Pear, “Wary Centrists.”</w:t>
      </w:r>
    </w:p>
    <w:p w14:paraId="1EB928AB" w14:textId="77777777" w:rsidR="009F4459" w:rsidRDefault="009F4459" w:rsidP="00E91A32">
      <w:pPr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  <w:u w:val="single"/>
        </w:rPr>
      </w:pPr>
    </w:p>
    <w:p w14:paraId="2C3C58E8" w14:textId="4CE59605" w:rsidR="00BD0B68" w:rsidRPr="00BD0B68" w:rsidRDefault="00BD0B68" w:rsidP="00E91A32">
      <w:pPr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Thesis or dissertation</w:t>
      </w:r>
      <w:r w:rsidR="00C16795"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222B942D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 xml:space="preserve">1. </w:t>
      </w:r>
      <w:proofErr w:type="spellStart"/>
      <w:r w:rsidRPr="00BD0B68">
        <w:rPr>
          <w:rFonts w:asciiTheme="majorBidi" w:eastAsia="Times New Roman" w:hAnsiTheme="majorBidi"/>
          <w:sz w:val="22"/>
          <w:szCs w:val="22"/>
        </w:rPr>
        <w:t>Mihwa</w:t>
      </w:r>
      <w:proofErr w:type="spellEnd"/>
      <w:r w:rsidRPr="00BD0B68">
        <w:rPr>
          <w:rFonts w:asciiTheme="majorBidi" w:eastAsia="Times New Roman" w:hAnsiTheme="majorBidi"/>
          <w:sz w:val="22"/>
          <w:szCs w:val="22"/>
        </w:rPr>
        <w:t xml:space="preserve"> Choi, “Contesting </w:t>
      </w:r>
      <w:proofErr w:type="spellStart"/>
      <w:r w:rsidRPr="00BD0B68">
        <w:rPr>
          <w:rFonts w:asciiTheme="majorBidi" w:eastAsia="Times New Roman" w:hAnsiTheme="majorBidi"/>
          <w:i/>
          <w:iCs/>
          <w:sz w:val="22"/>
          <w:szCs w:val="22"/>
        </w:rPr>
        <w:t>Imaginaires</w:t>
      </w:r>
      <w:proofErr w:type="spellEnd"/>
      <w:r w:rsidRPr="00BD0B68">
        <w:rPr>
          <w:rFonts w:asciiTheme="majorBidi" w:eastAsia="Times New Roman" w:hAnsiTheme="majorBidi"/>
          <w:sz w:val="22"/>
          <w:szCs w:val="22"/>
        </w:rPr>
        <w:t> in Death Rituals during the Northern Song Dynasty” (PhD diss., University of Chicago, 2008).</w:t>
      </w:r>
    </w:p>
    <w:p w14:paraId="7CE0384B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Choi, “Contesting </w:t>
      </w:r>
      <w:proofErr w:type="spellStart"/>
      <w:r w:rsidRPr="00BD0B68">
        <w:rPr>
          <w:rFonts w:asciiTheme="majorBidi" w:eastAsia="Times New Roman" w:hAnsiTheme="majorBidi"/>
          <w:i/>
          <w:iCs/>
          <w:sz w:val="22"/>
          <w:szCs w:val="22"/>
        </w:rPr>
        <w:t>Imaginaires</w:t>
      </w:r>
      <w:proofErr w:type="spellEnd"/>
      <w:r w:rsidRPr="00BD0B68">
        <w:rPr>
          <w:rFonts w:asciiTheme="majorBidi" w:eastAsia="Times New Roman" w:hAnsiTheme="majorBidi"/>
          <w:sz w:val="22"/>
          <w:szCs w:val="22"/>
        </w:rPr>
        <w:t>.”</w:t>
      </w:r>
    </w:p>
    <w:p w14:paraId="681C3D02" w14:textId="77777777" w:rsidR="00BD0B68" w:rsidRPr="00BD0B68" w:rsidRDefault="00BD0B68" w:rsidP="00E91A32">
      <w:pPr>
        <w:bidi w:val="0"/>
        <w:spacing w:before="90" w:after="0" w:line="324" w:lineRule="atLeast"/>
        <w:jc w:val="both"/>
        <w:outlineLvl w:val="3"/>
        <w:rPr>
          <w:rFonts w:asciiTheme="majorBidi" w:eastAsia="Times New Roman" w:hAnsiTheme="majorBidi"/>
          <w:sz w:val="22"/>
          <w:szCs w:val="22"/>
          <w:u w:val="single"/>
        </w:rPr>
      </w:pPr>
      <w:r w:rsidRPr="00BD0B68">
        <w:rPr>
          <w:rFonts w:asciiTheme="majorBidi" w:eastAsia="Times New Roman" w:hAnsiTheme="majorBidi"/>
          <w:sz w:val="22"/>
          <w:szCs w:val="22"/>
          <w:u w:val="single"/>
        </w:rPr>
        <w:t>Paper presented at a meeting or conference</w:t>
      </w:r>
      <w:r w:rsidR="00C16795">
        <w:rPr>
          <w:rFonts w:asciiTheme="majorBidi" w:eastAsia="Times New Roman" w:hAnsiTheme="majorBidi"/>
          <w:sz w:val="22"/>
          <w:szCs w:val="22"/>
          <w:u w:val="single"/>
        </w:rPr>
        <w:t>:</w:t>
      </w:r>
    </w:p>
    <w:p w14:paraId="1E5D5749" w14:textId="77777777" w:rsidR="00BD0B68" w:rsidRPr="00BD0B68" w:rsidRDefault="00BD0B68" w:rsidP="00E91A32">
      <w:pPr>
        <w:shd w:val="clear" w:color="auto" w:fill="FFFFFF"/>
        <w:bidi w:val="0"/>
        <w:spacing w:after="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lastRenderedPageBreak/>
        <w:t xml:space="preserve">1. Rachel Adelman, “ ‘Such Stuff as Dreams Are Made On’: God’s Footstool in the Aramaic </w:t>
      </w:r>
      <w:proofErr w:type="spellStart"/>
      <w:r w:rsidRPr="00BD0B68">
        <w:rPr>
          <w:rFonts w:asciiTheme="majorBidi" w:eastAsia="Times New Roman" w:hAnsiTheme="majorBidi"/>
          <w:sz w:val="22"/>
          <w:szCs w:val="22"/>
        </w:rPr>
        <w:t>Targumim</w:t>
      </w:r>
      <w:proofErr w:type="spellEnd"/>
      <w:r w:rsidRPr="00BD0B68">
        <w:rPr>
          <w:rFonts w:asciiTheme="majorBidi" w:eastAsia="Times New Roman" w:hAnsiTheme="majorBidi"/>
          <w:sz w:val="22"/>
          <w:szCs w:val="22"/>
        </w:rPr>
        <w:t xml:space="preserve"> and Midrashic Tradition” (paper presented at the annual meeting for the Society of Biblical Literature, New Orleans, Louisiana, November 21–24, 2009).</w:t>
      </w:r>
    </w:p>
    <w:p w14:paraId="7DEA5206" w14:textId="77777777" w:rsidR="00BD0B68" w:rsidRPr="00BD0B68" w:rsidRDefault="00BD0B68" w:rsidP="00E91A32">
      <w:pPr>
        <w:shd w:val="clear" w:color="auto" w:fill="FFFFFF"/>
        <w:bidi w:val="0"/>
        <w:spacing w:after="120" w:line="324" w:lineRule="atLeast"/>
        <w:ind w:firstLine="288"/>
        <w:jc w:val="both"/>
        <w:rPr>
          <w:rFonts w:asciiTheme="majorBidi" w:eastAsia="Times New Roman" w:hAnsiTheme="majorBidi"/>
          <w:sz w:val="22"/>
          <w:szCs w:val="22"/>
        </w:rPr>
      </w:pPr>
      <w:r w:rsidRPr="00BD0B68">
        <w:rPr>
          <w:rFonts w:asciiTheme="majorBidi" w:eastAsia="Times New Roman" w:hAnsiTheme="majorBidi"/>
          <w:sz w:val="22"/>
          <w:szCs w:val="22"/>
        </w:rPr>
        <w:t>2. Adelman, “Such Stuff as Dreams.”</w:t>
      </w:r>
    </w:p>
    <w:p w14:paraId="08605652" w14:textId="77777777" w:rsidR="00BD0B68" w:rsidRPr="008243BB" w:rsidRDefault="00BD0B68" w:rsidP="00E91A32">
      <w:p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BD0B68" w:rsidRPr="008243BB" w:rsidSect="00986A3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6B35"/>
    <w:multiLevelType w:val="hybridMultilevel"/>
    <w:tmpl w:val="503A5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E7DD5"/>
    <w:multiLevelType w:val="hybridMultilevel"/>
    <w:tmpl w:val="15DE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C71"/>
    <w:multiLevelType w:val="hybridMultilevel"/>
    <w:tmpl w:val="5C5E154C"/>
    <w:lvl w:ilvl="0" w:tplc="668E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847"/>
    <w:multiLevelType w:val="hybridMultilevel"/>
    <w:tmpl w:val="BA42FA78"/>
    <w:lvl w:ilvl="0" w:tplc="5CC2E034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51E06"/>
    <w:multiLevelType w:val="hybridMultilevel"/>
    <w:tmpl w:val="6EA0614C"/>
    <w:lvl w:ilvl="0" w:tplc="3FEEEF7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32AC39C6"/>
    <w:multiLevelType w:val="hybridMultilevel"/>
    <w:tmpl w:val="5774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AF4"/>
    <w:multiLevelType w:val="hybridMultilevel"/>
    <w:tmpl w:val="79AAF016"/>
    <w:lvl w:ilvl="0" w:tplc="6C50C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65D23"/>
    <w:multiLevelType w:val="hybridMultilevel"/>
    <w:tmpl w:val="70C2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23584"/>
    <w:multiLevelType w:val="hybridMultilevel"/>
    <w:tmpl w:val="368A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3D0"/>
    <w:multiLevelType w:val="hybridMultilevel"/>
    <w:tmpl w:val="9A9861B2"/>
    <w:lvl w:ilvl="0" w:tplc="668E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5983"/>
    <w:multiLevelType w:val="hybridMultilevel"/>
    <w:tmpl w:val="54F6F88C"/>
    <w:lvl w:ilvl="0" w:tplc="63BED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F4A76"/>
    <w:multiLevelType w:val="hybridMultilevel"/>
    <w:tmpl w:val="44BE9234"/>
    <w:lvl w:ilvl="0" w:tplc="C826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22EE9"/>
    <w:multiLevelType w:val="hybridMultilevel"/>
    <w:tmpl w:val="B658E748"/>
    <w:lvl w:ilvl="0" w:tplc="E7B8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34D99"/>
    <w:multiLevelType w:val="hybridMultilevel"/>
    <w:tmpl w:val="355A4280"/>
    <w:lvl w:ilvl="0" w:tplc="A7E0EA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71436"/>
    <w:multiLevelType w:val="hybridMultilevel"/>
    <w:tmpl w:val="68DC5B0A"/>
    <w:lvl w:ilvl="0" w:tplc="4FF49E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B2998"/>
    <w:multiLevelType w:val="hybridMultilevel"/>
    <w:tmpl w:val="102CB942"/>
    <w:lvl w:ilvl="0" w:tplc="E214B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53F5D"/>
    <w:multiLevelType w:val="hybridMultilevel"/>
    <w:tmpl w:val="0D688E6A"/>
    <w:lvl w:ilvl="0" w:tplc="F4B68F5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7" w15:restartNumberingAfterBreak="0">
    <w:nsid w:val="759067FD"/>
    <w:multiLevelType w:val="hybridMultilevel"/>
    <w:tmpl w:val="57781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8"/>
    <w:rsid w:val="00000D0E"/>
    <w:rsid w:val="00011357"/>
    <w:rsid w:val="00012A0B"/>
    <w:rsid w:val="0001392D"/>
    <w:rsid w:val="00020D86"/>
    <w:rsid w:val="0003126F"/>
    <w:rsid w:val="00037190"/>
    <w:rsid w:val="00037E57"/>
    <w:rsid w:val="00040B28"/>
    <w:rsid w:val="0004134A"/>
    <w:rsid w:val="000470CB"/>
    <w:rsid w:val="0005185C"/>
    <w:rsid w:val="0005322B"/>
    <w:rsid w:val="00055F23"/>
    <w:rsid w:val="00066D6D"/>
    <w:rsid w:val="00067FD7"/>
    <w:rsid w:val="00070D8B"/>
    <w:rsid w:val="00072391"/>
    <w:rsid w:val="00076CCA"/>
    <w:rsid w:val="00076FAF"/>
    <w:rsid w:val="00093204"/>
    <w:rsid w:val="00093611"/>
    <w:rsid w:val="000968DB"/>
    <w:rsid w:val="00096D97"/>
    <w:rsid w:val="00097130"/>
    <w:rsid w:val="000A0E6C"/>
    <w:rsid w:val="000A3ECD"/>
    <w:rsid w:val="000A4B50"/>
    <w:rsid w:val="000A5E2B"/>
    <w:rsid w:val="000B1A19"/>
    <w:rsid w:val="000C2036"/>
    <w:rsid w:val="000C5184"/>
    <w:rsid w:val="000C685D"/>
    <w:rsid w:val="000C69CF"/>
    <w:rsid w:val="000C6EEC"/>
    <w:rsid w:val="000C796B"/>
    <w:rsid w:val="000F57EA"/>
    <w:rsid w:val="0010647D"/>
    <w:rsid w:val="00110F6C"/>
    <w:rsid w:val="0011138D"/>
    <w:rsid w:val="00115F89"/>
    <w:rsid w:val="001164B2"/>
    <w:rsid w:val="0012713F"/>
    <w:rsid w:val="00141745"/>
    <w:rsid w:val="00145AF2"/>
    <w:rsid w:val="00155E7B"/>
    <w:rsid w:val="00165884"/>
    <w:rsid w:val="0016632A"/>
    <w:rsid w:val="00176189"/>
    <w:rsid w:val="0017638D"/>
    <w:rsid w:val="00181CBC"/>
    <w:rsid w:val="00185D96"/>
    <w:rsid w:val="001A1971"/>
    <w:rsid w:val="001B2016"/>
    <w:rsid w:val="001B3768"/>
    <w:rsid w:val="001B4F7C"/>
    <w:rsid w:val="001C2065"/>
    <w:rsid w:val="001C3904"/>
    <w:rsid w:val="001C3965"/>
    <w:rsid w:val="001C4589"/>
    <w:rsid w:val="001C554F"/>
    <w:rsid w:val="001D01E3"/>
    <w:rsid w:val="001D50AD"/>
    <w:rsid w:val="001E3B83"/>
    <w:rsid w:val="001F0E7A"/>
    <w:rsid w:val="001F4DEF"/>
    <w:rsid w:val="001F5734"/>
    <w:rsid w:val="001F67ED"/>
    <w:rsid w:val="00205CFC"/>
    <w:rsid w:val="0021236A"/>
    <w:rsid w:val="00220781"/>
    <w:rsid w:val="00221B09"/>
    <w:rsid w:val="0023024E"/>
    <w:rsid w:val="00230EA6"/>
    <w:rsid w:val="002320F4"/>
    <w:rsid w:val="00237E97"/>
    <w:rsid w:val="00241B81"/>
    <w:rsid w:val="0024386C"/>
    <w:rsid w:val="00244644"/>
    <w:rsid w:val="00244B4D"/>
    <w:rsid w:val="00245177"/>
    <w:rsid w:val="00255C47"/>
    <w:rsid w:val="00264F5E"/>
    <w:rsid w:val="00270742"/>
    <w:rsid w:val="00276A79"/>
    <w:rsid w:val="00285A6D"/>
    <w:rsid w:val="00292CC4"/>
    <w:rsid w:val="00293445"/>
    <w:rsid w:val="0029775F"/>
    <w:rsid w:val="002A4009"/>
    <w:rsid w:val="002B116D"/>
    <w:rsid w:val="002B2584"/>
    <w:rsid w:val="002B4EA8"/>
    <w:rsid w:val="002B7882"/>
    <w:rsid w:val="002C1A16"/>
    <w:rsid w:val="002C29BC"/>
    <w:rsid w:val="002C5046"/>
    <w:rsid w:val="002D2098"/>
    <w:rsid w:val="002D645D"/>
    <w:rsid w:val="002D7425"/>
    <w:rsid w:val="002D7EC9"/>
    <w:rsid w:val="002F41AC"/>
    <w:rsid w:val="00302FAE"/>
    <w:rsid w:val="00304A22"/>
    <w:rsid w:val="00312F78"/>
    <w:rsid w:val="00313CBA"/>
    <w:rsid w:val="0031637C"/>
    <w:rsid w:val="003173DA"/>
    <w:rsid w:val="00317501"/>
    <w:rsid w:val="0032449D"/>
    <w:rsid w:val="0033161E"/>
    <w:rsid w:val="003333F8"/>
    <w:rsid w:val="00341F4C"/>
    <w:rsid w:val="003425BC"/>
    <w:rsid w:val="00342E3A"/>
    <w:rsid w:val="00355E44"/>
    <w:rsid w:val="003572E8"/>
    <w:rsid w:val="003653B2"/>
    <w:rsid w:val="003670CF"/>
    <w:rsid w:val="00373850"/>
    <w:rsid w:val="00380A4E"/>
    <w:rsid w:val="00383A39"/>
    <w:rsid w:val="00384EED"/>
    <w:rsid w:val="003862D5"/>
    <w:rsid w:val="00387D80"/>
    <w:rsid w:val="00394D81"/>
    <w:rsid w:val="003A3B6C"/>
    <w:rsid w:val="003A4723"/>
    <w:rsid w:val="003A7CF1"/>
    <w:rsid w:val="003B45A2"/>
    <w:rsid w:val="003C1895"/>
    <w:rsid w:val="003C20E1"/>
    <w:rsid w:val="003D274F"/>
    <w:rsid w:val="003E36FF"/>
    <w:rsid w:val="003E424C"/>
    <w:rsid w:val="003F3469"/>
    <w:rsid w:val="003F64FE"/>
    <w:rsid w:val="00403020"/>
    <w:rsid w:val="00412522"/>
    <w:rsid w:val="00412551"/>
    <w:rsid w:val="004139EB"/>
    <w:rsid w:val="00420C1D"/>
    <w:rsid w:val="00421257"/>
    <w:rsid w:val="00432272"/>
    <w:rsid w:val="00432612"/>
    <w:rsid w:val="00442455"/>
    <w:rsid w:val="0044451E"/>
    <w:rsid w:val="00445A57"/>
    <w:rsid w:val="004507C1"/>
    <w:rsid w:val="00450AC5"/>
    <w:rsid w:val="00450EC9"/>
    <w:rsid w:val="00453B3F"/>
    <w:rsid w:val="00457A90"/>
    <w:rsid w:val="00471A0A"/>
    <w:rsid w:val="00483421"/>
    <w:rsid w:val="00483D89"/>
    <w:rsid w:val="0049095E"/>
    <w:rsid w:val="00490AC5"/>
    <w:rsid w:val="004924FD"/>
    <w:rsid w:val="00493FB1"/>
    <w:rsid w:val="00495677"/>
    <w:rsid w:val="004A1BD1"/>
    <w:rsid w:val="004A1FCC"/>
    <w:rsid w:val="004A4EDD"/>
    <w:rsid w:val="004B6658"/>
    <w:rsid w:val="004D761F"/>
    <w:rsid w:val="004E2181"/>
    <w:rsid w:val="004E5FF8"/>
    <w:rsid w:val="004F06FC"/>
    <w:rsid w:val="004F080E"/>
    <w:rsid w:val="004F0D37"/>
    <w:rsid w:val="00503A25"/>
    <w:rsid w:val="0050670F"/>
    <w:rsid w:val="005126BF"/>
    <w:rsid w:val="00514D0D"/>
    <w:rsid w:val="0052333E"/>
    <w:rsid w:val="005316D8"/>
    <w:rsid w:val="00541921"/>
    <w:rsid w:val="00543043"/>
    <w:rsid w:val="00543298"/>
    <w:rsid w:val="00545FB7"/>
    <w:rsid w:val="00546FD7"/>
    <w:rsid w:val="005531CA"/>
    <w:rsid w:val="00555BA2"/>
    <w:rsid w:val="00556121"/>
    <w:rsid w:val="00562D89"/>
    <w:rsid w:val="00581FA6"/>
    <w:rsid w:val="00584155"/>
    <w:rsid w:val="00586DF3"/>
    <w:rsid w:val="00587169"/>
    <w:rsid w:val="005A052B"/>
    <w:rsid w:val="005A1CE2"/>
    <w:rsid w:val="005A7DB7"/>
    <w:rsid w:val="005B372D"/>
    <w:rsid w:val="005B4789"/>
    <w:rsid w:val="005B5C69"/>
    <w:rsid w:val="005C083C"/>
    <w:rsid w:val="005C4889"/>
    <w:rsid w:val="005C7A4A"/>
    <w:rsid w:val="005D00CF"/>
    <w:rsid w:val="005D048F"/>
    <w:rsid w:val="005D0EAC"/>
    <w:rsid w:val="005D24AE"/>
    <w:rsid w:val="005D524A"/>
    <w:rsid w:val="005D74FF"/>
    <w:rsid w:val="005E5977"/>
    <w:rsid w:val="005E5D89"/>
    <w:rsid w:val="005F5FFE"/>
    <w:rsid w:val="00603EC7"/>
    <w:rsid w:val="00605457"/>
    <w:rsid w:val="0060551D"/>
    <w:rsid w:val="00610633"/>
    <w:rsid w:val="00610D55"/>
    <w:rsid w:val="00614544"/>
    <w:rsid w:val="00624510"/>
    <w:rsid w:val="00631A7A"/>
    <w:rsid w:val="006415BE"/>
    <w:rsid w:val="006436FE"/>
    <w:rsid w:val="00644602"/>
    <w:rsid w:val="00645ED8"/>
    <w:rsid w:val="0064739B"/>
    <w:rsid w:val="00647C67"/>
    <w:rsid w:val="00653466"/>
    <w:rsid w:val="00663FEE"/>
    <w:rsid w:val="00673140"/>
    <w:rsid w:val="00683DDA"/>
    <w:rsid w:val="00683DE8"/>
    <w:rsid w:val="00684881"/>
    <w:rsid w:val="00684954"/>
    <w:rsid w:val="00691821"/>
    <w:rsid w:val="00694490"/>
    <w:rsid w:val="00695EE0"/>
    <w:rsid w:val="00697E09"/>
    <w:rsid w:val="006B4612"/>
    <w:rsid w:val="006B554D"/>
    <w:rsid w:val="006B5981"/>
    <w:rsid w:val="006C03BB"/>
    <w:rsid w:val="006C23C9"/>
    <w:rsid w:val="006C3A72"/>
    <w:rsid w:val="006C53C2"/>
    <w:rsid w:val="006E2BB9"/>
    <w:rsid w:val="006E7352"/>
    <w:rsid w:val="00701288"/>
    <w:rsid w:val="007053DF"/>
    <w:rsid w:val="00707624"/>
    <w:rsid w:val="00710CE8"/>
    <w:rsid w:val="0071308E"/>
    <w:rsid w:val="007130F2"/>
    <w:rsid w:val="0071676C"/>
    <w:rsid w:val="0072540E"/>
    <w:rsid w:val="007258D3"/>
    <w:rsid w:val="0073304D"/>
    <w:rsid w:val="00740350"/>
    <w:rsid w:val="00743CC7"/>
    <w:rsid w:val="00754635"/>
    <w:rsid w:val="0075533A"/>
    <w:rsid w:val="00755C70"/>
    <w:rsid w:val="0075736C"/>
    <w:rsid w:val="00762252"/>
    <w:rsid w:val="007626EA"/>
    <w:rsid w:val="00762F29"/>
    <w:rsid w:val="007656FE"/>
    <w:rsid w:val="0077704F"/>
    <w:rsid w:val="00777A49"/>
    <w:rsid w:val="0078445A"/>
    <w:rsid w:val="00785CD7"/>
    <w:rsid w:val="00786F2B"/>
    <w:rsid w:val="0079186F"/>
    <w:rsid w:val="007921BA"/>
    <w:rsid w:val="00795527"/>
    <w:rsid w:val="007A28B0"/>
    <w:rsid w:val="007A3D33"/>
    <w:rsid w:val="007B0F26"/>
    <w:rsid w:val="007B6D76"/>
    <w:rsid w:val="007C1F61"/>
    <w:rsid w:val="007C4091"/>
    <w:rsid w:val="007D2FC2"/>
    <w:rsid w:val="007D48C6"/>
    <w:rsid w:val="007E00F2"/>
    <w:rsid w:val="007E3443"/>
    <w:rsid w:val="007E7717"/>
    <w:rsid w:val="007F1182"/>
    <w:rsid w:val="007F489B"/>
    <w:rsid w:val="007F6968"/>
    <w:rsid w:val="008004E8"/>
    <w:rsid w:val="00800C27"/>
    <w:rsid w:val="008039DE"/>
    <w:rsid w:val="008077B2"/>
    <w:rsid w:val="00814A69"/>
    <w:rsid w:val="00815B98"/>
    <w:rsid w:val="00821815"/>
    <w:rsid w:val="008223ED"/>
    <w:rsid w:val="0082334A"/>
    <w:rsid w:val="008243BB"/>
    <w:rsid w:val="00827D8A"/>
    <w:rsid w:val="00831EE3"/>
    <w:rsid w:val="00832B33"/>
    <w:rsid w:val="00836010"/>
    <w:rsid w:val="008504EC"/>
    <w:rsid w:val="00852785"/>
    <w:rsid w:val="0086166C"/>
    <w:rsid w:val="00861B2D"/>
    <w:rsid w:val="00863A0D"/>
    <w:rsid w:val="00865EB6"/>
    <w:rsid w:val="008704E2"/>
    <w:rsid w:val="0089158C"/>
    <w:rsid w:val="008A5291"/>
    <w:rsid w:val="008B05B9"/>
    <w:rsid w:val="008B5990"/>
    <w:rsid w:val="008C4DFE"/>
    <w:rsid w:val="008D13D1"/>
    <w:rsid w:val="008D6559"/>
    <w:rsid w:val="008E7401"/>
    <w:rsid w:val="008F4C4E"/>
    <w:rsid w:val="008F5171"/>
    <w:rsid w:val="008F5F5B"/>
    <w:rsid w:val="00910772"/>
    <w:rsid w:val="00924BE6"/>
    <w:rsid w:val="00924F96"/>
    <w:rsid w:val="009261EB"/>
    <w:rsid w:val="009328C8"/>
    <w:rsid w:val="0093366A"/>
    <w:rsid w:val="00933ECC"/>
    <w:rsid w:val="0094143D"/>
    <w:rsid w:val="00941D58"/>
    <w:rsid w:val="00946F65"/>
    <w:rsid w:val="00960904"/>
    <w:rsid w:val="00961127"/>
    <w:rsid w:val="0096654E"/>
    <w:rsid w:val="009714B5"/>
    <w:rsid w:val="00972CA4"/>
    <w:rsid w:val="009738CE"/>
    <w:rsid w:val="009749FE"/>
    <w:rsid w:val="00975C59"/>
    <w:rsid w:val="009760F4"/>
    <w:rsid w:val="00976C85"/>
    <w:rsid w:val="0098485F"/>
    <w:rsid w:val="0098648B"/>
    <w:rsid w:val="00986895"/>
    <w:rsid w:val="00986A33"/>
    <w:rsid w:val="0099209C"/>
    <w:rsid w:val="009A438D"/>
    <w:rsid w:val="009A7888"/>
    <w:rsid w:val="009C65CB"/>
    <w:rsid w:val="009C737B"/>
    <w:rsid w:val="009C744E"/>
    <w:rsid w:val="009C7F32"/>
    <w:rsid w:val="009E63C5"/>
    <w:rsid w:val="009E743B"/>
    <w:rsid w:val="009F4459"/>
    <w:rsid w:val="00A0208F"/>
    <w:rsid w:val="00A07846"/>
    <w:rsid w:val="00A10BD1"/>
    <w:rsid w:val="00A110D4"/>
    <w:rsid w:val="00A11CD8"/>
    <w:rsid w:val="00A145EC"/>
    <w:rsid w:val="00A209A6"/>
    <w:rsid w:val="00A230F8"/>
    <w:rsid w:val="00A23B4B"/>
    <w:rsid w:val="00A2428B"/>
    <w:rsid w:val="00A27B12"/>
    <w:rsid w:val="00A3097A"/>
    <w:rsid w:val="00A35B41"/>
    <w:rsid w:val="00A36FED"/>
    <w:rsid w:val="00A416C7"/>
    <w:rsid w:val="00A44592"/>
    <w:rsid w:val="00A4783C"/>
    <w:rsid w:val="00A513E0"/>
    <w:rsid w:val="00A52CD1"/>
    <w:rsid w:val="00A5304F"/>
    <w:rsid w:val="00A54B33"/>
    <w:rsid w:val="00A6195E"/>
    <w:rsid w:val="00A61F6C"/>
    <w:rsid w:val="00A7139A"/>
    <w:rsid w:val="00A82EC8"/>
    <w:rsid w:val="00AA5ACC"/>
    <w:rsid w:val="00AB277C"/>
    <w:rsid w:val="00AB2E5D"/>
    <w:rsid w:val="00AB78A7"/>
    <w:rsid w:val="00AC5B92"/>
    <w:rsid w:val="00AC6458"/>
    <w:rsid w:val="00AC6C29"/>
    <w:rsid w:val="00AD0942"/>
    <w:rsid w:val="00AD7E04"/>
    <w:rsid w:val="00AE51B4"/>
    <w:rsid w:val="00AF122A"/>
    <w:rsid w:val="00AF4487"/>
    <w:rsid w:val="00B006BA"/>
    <w:rsid w:val="00B11855"/>
    <w:rsid w:val="00B147B5"/>
    <w:rsid w:val="00B15C94"/>
    <w:rsid w:val="00B245AB"/>
    <w:rsid w:val="00B3114A"/>
    <w:rsid w:val="00B34FB8"/>
    <w:rsid w:val="00B36B2F"/>
    <w:rsid w:val="00B42809"/>
    <w:rsid w:val="00B43CA8"/>
    <w:rsid w:val="00B478F3"/>
    <w:rsid w:val="00B537DA"/>
    <w:rsid w:val="00B61D3F"/>
    <w:rsid w:val="00B638E5"/>
    <w:rsid w:val="00B72B5D"/>
    <w:rsid w:val="00B742D3"/>
    <w:rsid w:val="00B9192D"/>
    <w:rsid w:val="00B946AC"/>
    <w:rsid w:val="00BA14EF"/>
    <w:rsid w:val="00BA1F3D"/>
    <w:rsid w:val="00BA2803"/>
    <w:rsid w:val="00BB5070"/>
    <w:rsid w:val="00BB746E"/>
    <w:rsid w:val="00BC0A72"/>
    <w:rsid w:val="00BC3E82"/>
    <w:rsid w:val="00BC5CD9"/>
    <w:rsid w:val="00BD01CD"/>
    <w:rsid w:val="00BD0B68"/>
    <w:rsid w:val="00BD55C7"/>
    <w:rsid w:val="00BD65FF"/>
    <w:rsid w:val="00BE49B5"/>
    <w:rsid w:val="00BE4D3F"/>
    <w:rsid w:val="00BF2BFD"/>
    <w:rsid w:val="00C04BBE"/>
    <w:rsid w:val="00C06BF6"/>
    <w:rsid w:val="00C16795"/>
    <w:rsid w:val="00C227E0"/>
    <w:rsid w:val="00C338DA"/>
    <w:rsid w:val="00C34483"/>
    <w:rsid w:val="00C36537"/>
    <w:rsid w:val="00C41429"/>
    <w:rsid w:val="00C4315A"/>
    <w:rsid w:val="00C46689"/>
    <w:rsid w:val="00C476AB"/>
    <w:rsid w:val="00C54DF6"/>
    <w:rsid w:val="00C55D16"/>
    <w:rsid w:val="00C56595"/>
    <w:rsid w:val="00C56C31"/>
    <w:rsid w:val="00C67085"/>
    <w:rsid w:val="00C908AF"/>
    <w:rsid w:val="00CA0A56"/>
    <w:rsid w:val="00CA190A"/>
    <w:rsid w:val="00CA5B6B"/>
    <w:rsid w:val="00CB6D65"/>
    <w:rsid w:val="00CB6EA1"/>
    <w:rsid w:val="00CC1E50"/>
    <w:rsid w:val="00CC44E4"/>
    <w:rsid w:val="00CC4A3C"/>
    <w:rsid w:val="00CC7067"/>
    <w:rsid w:val="00CE0D4D"/>
    <w:rsid w:val="00CE0D60"/>
    <w:rsid w:val="00CE1CD2"/>
    <w:rsid w:val="00CF534D"/>
    <w:rsid w:val="00D034A0"/>
    <w:rsid w:val="00D04AF0"/>
    <w:rsid w:val="00D050C3"/>
    <w:rsid w:val="00D104DE"/>
    <w:rsid w:val="00D17E82"/>
    <w:rsid w:val="00D20112"/>
    <w:rsid w:val="00D20BF0"/>
    <w:rsid w:val="00D21775"/>
    <w:rsid w:val="00D21F55"/>
    <w:rsid w:val="00D3090E"/>
    <w:rsid w:val="00D33ED4"/>
    <w:rsid w:val="00D43767"/>
    <w:rsid w:val="00D455A2"/>
    <w:rsid w:val="00D55E2C"/>
    <w:rsid w:val="00D639D9"/>
    <w:rsid w:val="00D63E3C"/>
    <w:rsid w:val="00D77550"/>
    <w:rsid w:val="00D87598"/>
    <w:rsid w:val="00D95C5E"/>
    <w:rsid w:val="00D97B2C"/>
    <w:rsid w:val="00DA49FC"/>
    <w:rsid w:val="00DC7818"/>
    <w:rsid w:val="00DD3D5C"/>
    <w:rsid w:val="00DE5331"/>
    <w:rsid w:val="00DE5955"/>
    <w:rsid w:val="00DF0881"/>
    <w:rsid w:val="00DF1523"/>
    <w:rsid w:val="00DF5C05"/>
    <w:rsid w:val="00E049B1"/>
    <w:rsid w:val="00E07DFE"/>
    <w:rsid w:val="00E21C9A"/>
    <w:rsid w:val="00E259A5"/>
    <w:rsid w:val="00E42EEA"/>
    <w:rsid w:val="00E430E8"/>
    <w:rsid w:val="00E532C8"/>
    <w:rsid w:val="00E620C6"/>
    <w:rsid w:val="00E6333C"/>
    <w:rsid w:val="00E73BBF"/>
    <w:rsid w:val="00E751E1"/>
    <w:rsid w:val="00E7687C"/>
    <w:rsid w:val="00E80A3B"/>
    <w:rsid w:val="00E8508C"/>
    <w:rsid w:val="00E86771"/>
    <w:rsid w:val="00E9137A"/>
    <w:rsid w:val="00E91A32"/>
    <w:rsid w:val="00E955D4"/>
    <w:rsid w:val="00E9592B"/>
    <w:rsid w:val="00EA5DE6"/>
    <w:rsid w:val="00EA5FF4"/>
    <w:rsid w:val="00EE399C"/>
    <w:rsid w:val="00EF0863"/>
    <w:rsid w:val="00EF53AD"/>
    <w:rsid w:val="00EF6A13"/>
    <w:rsid w:val="00F01DC9"/>
    <w:rsid w:val="00F01F53"/>
    <w:rsid w:val="00F076FF"/>
    <w:rsid w:val="00F11D09"/>
    <w:rsid w:val="00F13D1E"/>
    <w:rsid w:val="00F1587E"/>
    <w:rsid w:val="00F1624E"/>
    <w:rsid w:val="00F2058A"/>
    <w:rsid w:val="00F24FCB"/>
    <w:rsid w:val="00F4359B"/>
    <w:rsid w:val="00F43F24"/>
    <w:rsid w:val="00F4751C"/>
    <w:rsid w:val="00F510ED"/>
    <w:rsid w:val="00F519A1"/>
    <w:rsid w:val="00F5408A"/>
    <w:rsid w:val="00F6163F"/>
    <w:rsid w:val="00F61DF4"/>
    <w:rsid w:val="00F636A7"/>
    <w:rsid w:val="00F6476A"/>
    <w:rsid w:val="00F66429"/>
    <w:rsid w:val="00F670F6"/>
    <w:rsid w:val="00F674FB"/>
    <w:rsid w:val="00F73677"/>
    <w:rsid w:val="00F76553"/>
    <w:rsid w:val="00F76849"/>
    <w:rsid w:val="00F84B94"/>
    <w:rsid w:val="00F92DA7"/>
    <w:rsid w:val="00F92F4B"/>
    <w:rsid w:val="00F93256"/>
    <w:rsid w:val="00F944AA"/>
    <w:rsid w:val="00F978E2"/>
    <w:rsid w:val="00FA042F"/>
    <w:rsid w:val="00FB28A4"/>
    <w:rsid w:val="00FB3A9A"/>
    <w:rsid w:val="00FC0769"/>
    <w:rsid w:val="00FC0CC2"/>
    <w:rsid w:val="00FC1388"/>
    <w:rsid w:val="00FC7BAC"/>
    <w:rsid w:val="00FD28BE"/>
    <w:rsid w:val="00FE52DB"/>
    <w:rsid w:val="00FE770B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6BE2"/>
  <w15:chartTrackingRefBased/>
  <w15:docId w15:val="{7E5A4C01-97EA-48BF-A414-06C37720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6A"/>
    <w:pPr>
      <w:bidi/>
      <w:spacing w:line="480" w:lineRule="auto"/>
    </w:pPr>
  </w:style>
  <w:style w:type="paragraph" w:styleId="4">
    <w:name w:val="heading 4"/>
    <w:basedOn w:val="a"/>
    <w:link w:val="40"/>
    <w:uiPriority w:val="9"/>
    <w:qFormat/>
    <w:rsid w:val="00BD0B68"/>
    <w:pPr>
      <w:bidi w:val="0"/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D0B68"/>
    <w:pPr>
      <w:bidi w:val="0"/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58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rsid w:val="00BD0B68"/>
    <w:rPr>
      <w:rFonts w:eastAsia="Times New Roman" w:cs="Times New Roman"/>
      <w:b/>
      <w:bCs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BD0B68"/>
    <w:rPr>
      <w:rFonts w:eastAsia="Times New Roman" w:cs="Times New Roman"/>
      <w:b/>
      <w:bCs/>
    </w:rPr>
  </w:style>
  <w:style w:type="paragraph" w:styleId="NormalWeb">
    <w:name w:val="Normal (Web)"/>
    <w:basedOn w:val="a"/>
    <w:uiPriority w:val="99"/>
    <w:semiHidden/>
    <w:unhideWhenUsed/>
    <w:rsid w:val="00BD0B68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B68"/>
  </w:style>
  <w:style w:type="paragraph" w:customStyle="1" w:styleId="h5">
    <w:name w:val="h5"/>
    <w:basedOn w:val="a"/>
    <w:rsid w:val="00BD0B68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656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56FE"/>
    <w:pPr>
      <w:spacing w:line="240" w:lineRule="auto"/>
    </w:pPr>
  </w:style>
  <w:style w:type="character" w:customStyle="1" w:styleId="a6">
    <w:name w:val="טקסט הערה תו"/>
    <w:basedOn w:val="a0"/>
    <w:link w:val="a5"/>
    <w:uiPriority w:val="99"/>
    <w:semiHidden/>
    <w:rsid w:val="007656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56FE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656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656FE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2E5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2E5D"/>
    <w:rPr>
      <w:color w:val="808080"/>
      <w:shd w:val="clear" w:color="auto" w:fill="E6E6E6"/>
    </w:rPr>
  </w:style>
  <w:style w:type="character" w:styleId="ac">
    <w:name w:val="Placeholder Text"/>
    <w:basedOn w:val="a0"/>
    <w:uiPriority w:val="99"/>
    <w:semiHidden/>
    <w:rsid w:val="003173DA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D21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3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764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3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30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5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94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6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813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5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24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0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95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059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7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2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469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4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4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654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55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53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395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8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35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7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3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514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21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7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797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2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92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6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59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8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9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92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81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aretz.co.il/gallery/music/selective-hearing/.premium-1.4423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zalel.secured.co.il/zope/home/he/1315639275/1315640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a.journal@mail.huji.ac.il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0/02/28/us/politics/28health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Shachar</dc:creator>
  <cp:keywords/>
  <dc:description/>
  <cp:lastModifiedBy>noam peleg</cp:lastModifiedBy>
  <cp:revision>2</cp:revision>
  <cp:lastPrinted>2020-01-26T08:47:00Z</cp:lastPrinted>
  <dcterms:created xsi:type="dcterms:W3CDTF">2020-12-27T07:13:00Z</dcterms:created>
  <dcterms:modified xsi:type="dcterms:W3CDTF">2020-12-27T07:13:00Z</dcterms:modified>
</cp:coreProperties>
</file>